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val="clear" w:color="D9D9D9" w:fill="D9D9D9" w:themeFill="background1" w:themeFillShade="d9"/>
        <w:spacing w:lineRule="auto" w:line="276" w:before="120" w:after="50"/>
        <w:jc w:val="center"/>
        <w:rPr/>
      </w:pPr>
      <w:bookmarkStart w:id="0" w:name="_Hlk39584249"/>
      <w:bookmarkEnd w:id="0"/>
      <w:r>
        <w:rPr/>
        <w:t>Pismo dotyczące aktu planowania przestrzennego</w:t>
      </w:r>
    </w:p>
    <w:p>
      <w:pPr>
        <w:pStyle w:val="Normal"/>
        <w:rPr>
          <w:sz w:val="16"/>
          <w:szCs w:val="10"/>
        </w:rPr>
      </w:pPr>
      <w:r>
        <w:rPr>
          <w:sz w:val="16"/>
          <w:szCs w:val="10"/>
        </w:rPr>
      </w:r>
    </w:p>
    <w:p>
      <w:pPr>
        <w:pStyle w:val="Heading2"/>
        <w:ind w:firstLine="108" w:left="0"/>
        <w:rPr/>
      </w:pPr>
      <w:bookmarkStart w:id="1" w:name="_Hlk39476603"/>
      <w:bookmarkEnd w:id="1"/>
      <w:r>
        <w:rPr/>
        <w:t>1. ORGAN, DO KTÓREGO JEST SKŁADANE PISMO</w:t>
      </w:r>
    </w:p>
    <w:p>
      <w:pPr>
        <w:pStyle w:val="Normal"/>
        <w:rPr/>
      </w:pPr>
      <w:r>
        <w:rPr/>
        <w:t>Nazwa: Wójt Gminy Dopiewo, ul. Leśna 1c, 62-070 Dopiewo</w:t>
      </w:r>
    </w:p>
    <w:p>
      <w:pPr>
        <w:pStyle w:val="Heading2"/>
        <w:ind w:firstLine="108" w:left="0"/>
        <w:rPr/>
      </w:pPr>
      <w:r>
        <w:rPr/>
        <w:t xml:space="preserve">2. RODZAJ </w:t>
      </w:r>
      <w:bookmarkStart w:id="2" w:name="_Ref141440906"/>
      <w:r>
        <w:rPr/>
        <w:t>PISMA</w:t>
      </w:r>
      <w:bookmarkEnd w:id="2"/>
      <w:r>
        <w:rPr>
          <w:rStyle w:val="EndnoteReference"/>
          <w:b w:val="false"/>
          <w:bCs w:val="false"/>
        </w:rPr>
        <w:endnoteReference w:id="2"/>
      </w:r>
      <w:r>
        <w:rPr>
          <w:rStyle w:val="EndnoteCharacters"/>
          <w:b w:val="false"/>
          <w:bCs w:val="false"/>
        </w:rPr>
        <w:t>)</w:t>
      </w:r>
    </w:p>
    <w:p>
      <w:pPr>
        <w:pStyle w:val="Heading3"/>
        <w:ind w:hanging="0" w:left="0"/>
        <w:rPr/>
      </w:pPr>
      <w:sdt>
        <w:sdtPr>
          <w:id w:val="-1661138951"/>
          <w14:checkbox>
            <w14:checked w14:val="0"/>
            <w14:checkedState w14:val="2612"/>
            <w14:uncheckedState w14:val="2610"/>
          </w14:checkbox>
        </w:sdtPr>
        <w:sdtContent>
          <w:r>
            <w:rPr>
              <w:rFonts w:eastAsia="MS Gothic" w:ascii="MS Gothic" w:hAnsi="MS Gothic"/>
            </w:rPr>
          </w:r>
          <w:r>
            <w:rPr>
              <w:rFonts w:eastAsia="MS Gothic" w:ascii="MS Gothic" w:hAnsi="MS Gothic"/>
            </w:rPr>
            <w:t>☐</w:t>
          </w:r>
        </w:sdtContent>
      </w:sdt>
      <w:r>
        <w:rPr/>
        <w:t xml:space="preserve"> </w:t>
      </w:r>
      <w:r>
        <w:rPr/>
        <w:t>2.1. wniosek do projektu aktu</w:t>
        <w:tab/>
        <w:tab/>
      </w:r>
      <w:sdt>
        <w:sdtPr>
          <w:id w:val="397859858"/>
          <w14:checkbox>
            <w14:checked w14:val="1"/>
            <w14:checkedState w14:val="2612"/>
            <w14:uncheckedState w14:val="2610"/>
          </w14:checkbox>
        </w:sdtPr>
        <w:sdtContent>
          <w:r>
            <w:rPr/>
          </w:r>
          <w:r>
            <w:rPr/>
            <w:t>☒</w:t>
          </w:r>
        </w:sdtContent>
      </w:sdt>
      <w:r>
        <w:rPr/>
        <w:t xml:space="preserve"> </w:t>
      </w:r>
      <w:r>
        <w:rPr/>
        <w:t>2.2. uwaga do konsultowanego projektu aktu</w:t>
      </w:r>
      <w:r>
        <w:rPr>
          <w:rStyle w:val="EndnoteReference"/>
        </w:rPr>
        <w:endnoteReference w:id="3"/>
      </w:r>
      <w:r>
        <w:rPr>
          <w:rStyle w:val="EndnoteCharacters"/>
        </w:rPr>
        <w:t>)</w:t>
      </w:r>
      <w:r>
        <w:rPr/>
        <w:tab/>
      </w:r>
    </w:p>
    <w:p>
      <w:pPr>
        <w:pStyle w:val="Heading3"/>
        <w:ind w:hanging="0" w:left="0"/>
        <w:rPr/>
      </w:pPr>
      <w:sdt>
        <w:sdtPr>
          <w:id w:val="50671811"/>
          <w14:checkbox>
            <w14:checked w14:val="0"/>
            <w14:checkedState w14:val="2612"/>
            <w14:uncheckedState w14:val="2610"/>
          </w14:checkbox>
        </w:sdtPr>
        <w:sdtContent>
          <w:r>
            <w:rPr>
              <w:rFonts w:eastAsia="MS Gothic" w:ascii="MS Gothic" w:hAnsi="MS Gothic"/>
            </w:rPr>
          </w:r>
          <w:r>
            <w:rPr>
              <w:rFonts w:eastAsia="MS Gothic" w:ascii="MS Gothic" w:hAnsi="MS Gothic"/>
            </w:rPr>
            <w:t>☐</w:t>
          </w:r>
        </w:sdtContent>
      </w:sdt>
      <w:r>
        <w:rPr/>
        <w:t xml:space="preserve"> </w:t>
      </w:r>
      <w:r>
        <w:rPr/>
        <w:t>2.3. wniosek o zmianę aktu</w:t>
      </w:r>
      <w:bookmarkStart w:id="3" w:name="_Ref147224400"/>
      <w:r>
        <w:rPr>
          <w:rStyle w:val="EndnoteReference"/>
          <w:lang w:eastAsia="pl-PL"/>
        </w:rPr>
        <w:endnoteReference w:id="4"/>
      </w:r>
      <w:bookmarkEnd w:id="3"/>
      <w:r>
        <w:rPr>
          <w:rStyle w:val="EndnoteCharacters"/>
        </w:rPr>
        <w:t>)</w:t>
      </w:r>
      <w:r>
        <w:rPr/>
        <w:t xml:space="preserve"> </w:t>
        <w:tab/>
        <w:tab/>
      </w:r>
      <w:sdt>
        <w:sdtPr>
          <w:id w:val="1194117358"/>
          <w14:checkbox>
            <w14:checked w14:val="0"/>
            <w14:checkedState w14:val="2612"/>
            <w14:uncheckedState w14:val="2610"/>
          </w14:checkbox>
        </w:sdtPr>
        <w:sdtContent>
          <w:r>
            <w:rPr/>
          </w:r>
          <w:r>
            <w:rPr>
              <w:rFonts w:eastAsia="MS Gothic" w:ascii="MS Gothic" w:hAnsi="MS Gothic"/>
            </w:rPr>
            <w:t>☐</w:t>
          </w:r>
        </w:sdtContent>
      </w:sdt>
      <w:r>
        <w:rPr/>
        <w:t xml:space="preserve"> </w:t>
      </w:r>
      <w:r>
        <w:rPr/>
        <w:t>2.4. wniosek o sporządzenie aktu</w:t>
      </w:r>
      <w:r>
        <w:rPr>
          <w:rStyle w:val="EndnoteCharacters"/>
        </w:rPr>
        <w:t>3)</w:t>
      </w:r>
      <w:r>
        <w:rPr/>
        <w:tab/>
      </w:r>
    </w:p>
    <w:p>
      <w:pPr>
        <w:pStyle w:val="Heading2"/>
        <w:ind w:firstLine="108" w:left="0"/>
        <w:rPr/>
      </w:pPr>
      <w:r>
        <w:rPr/>
        <w:t>3. RODZAJ AKTU PLANOWANIA PRZESTRZENNEGO</w:t>
      </w:r>
      <w:r>
        <w:rPr>
          <w:rStyle w:val="EndnoteCharacters"/>
          <w:b w:val="false"/>
          <w:bCs w:val="false"/>
        </w:rPr>
        <w:t>1)</w:t>
      </w:r>
    </w:p>
    <w:p>
      <w:pPr>
        <w:pStyle w:val="Heading3"/>
        <w:spacing w:before="0" w:after="60"/>
        <w:ind w:hanging="0" w:left="0"/>
        <w:rPr/>
      </w:pPr>
      <w:bookmarkStart w:id="4" w:name="_Hlk145671776"/>
      <w:sdt>
        <w:sdtPr>
          <w:id w:val="2110855430"/>
          <w14:checkbox>
            <w14:checked w14:val="1"/>
            <w14:checkedState w14:val="2612"/>
            <w14:uncheckedState w14:val="2610"/>
          </w14:checkbox>
        </w:sdtPr>
        <w:sdtContent>
          <w:r>
            <w:rPr>
              <w:rFonts w:eastAsia="MS Gothic" w:ascii="MS Gothic" w:hAnsi="MS Gothic"/>
            </w:rPr>
          </w:r>
          <w:r>
            <w:rPr>
              <w:rFonts w:eastAsia="MS Gothic" w:ascii="MS Gothic" w:hAnsi="MS Gothic"/>
            </w:rPr>
            <w:t>☒</w:t>
          </w:r>
        </w:sdtContent>
      </w:sdt>
      <w:r>
        <w:rPr/>
        <w:t xml:space="preserve"> </w:t>
      </w:r>
      <w:r>
        <w:rPr/>
        <w:t>3.1. plan ogólny gminy</w:t>
      </w:r>
    </w:p>
    <w:p>
      <w:pPr>
        <w:pStyle w:val="Heading3"/>
        <w:spacing w:before="0" w:after="60"/>
        <w:ind w:hanging="5" w:left="0"/>
        <w:rPr/>
      </w:pPr>
      <w:sdt>
        <w:sdtPr>
          <w:id w:val="1427004494"/>
          <w14:checkbox>
            <w14:checked w14:val="0"/>
            <w14:checkedState w14:val="2612"/>
            <w14:uncheckedState w14:val="2610"/>
          </w14:checkbox>
        </w:sdtPr>
        <w:sdtContent>
          <w:r>
            <w:rPr>
              <w:rFonts w:eastAsia="MS Gothic" w:ascii="MS Gothic" w:hAnsi="MS Gothic"/>
            </w:rPr>
          </w:r>
          <w:r>
            <w:rPr>
              <w:rFonts w:eastAsia="MS Gothic" w:ascii="MS Gothic" w:hAnsi="MS Gothic"/>
            </w:rPr>
            <w:t>☐</w:t>
          </w:r>
        </w:sdtContent>
      </w:sdt>
      <w:r>
        <w:rPr/>
        <w:t xml:space="preserve"> </w:t>
      </w:r>
      <w:r>
        <w:rPr/>
        <w:t>3.2. miejscowy plan zagospodarowania przestrzennego, w tym zintegrowany plan inwestycyjny lub miejscowy plan rewitalizacji</w:t>
      </w:r>
      <w:bookmarkStart w:id="5" w:name="_Hlk145671398"/>
    </w:p>
    <w:p>
      <w:pPr>
        <w:pStyle w:val="Heading3"/>
        <w:spacing w:before="0" w:after="60"/>
        <w:ind w:hanging="0" w:left="0"/>
        <w:rPr/>
      </w:pPr>
      <w:sdt>
        <w:sdtPr>
          <w:id w:val="-177044069"/>
          <w14:checkbox>
            <w14:checked w14:val="0"/>
            <w14:checkedState w14:val="2612"/>
            <w14:uncheckedState w14:val="2610"/>
          </w14:checkbox>
        </w:sdtPr>
        <w:sdtContent>
          <w:r>
            <w:rPr>
              <w:rFonts w:eastAsia="MS Gothic" w:ascii="MS Gothic" w:hAnsi="MS Gothic"/>
            </w:rPr>
          </w:r>
          <w:r>
            <w:rPr>
              <w:rFonts w:eastAsia="MS Gothic" w:ascii="MS Gothic" w:hAnsi="MS Gothic"/>
            </w:rPr>
            <w:t>☐</w:t>
          </w:r>
        </w:sdtContent>
      </w:sdt>
      <w:r>
        <w:rPr/>
        <w:t xml:space="preserve"> </w:t>
      </w:r>
      <w:r>
        <w:rPr/>
        <w:t>3.3. uchwała ustalająca zasady i warunki sytuowania obiektów małej architektury, tablic reklamowych i urządzeń reklamowych oraz ogrodzeń, ich gabaryty, standardy jakościowe oraz rodzaje materiałów budowlanych, z jakich mogą być wykonane</w:t>
      </w:r>
    </w:p>
    <w:p>
      <w:pPr>
        <w:pStyle w:val="Heading3"/>
        <w:spacing w:before="0" w:after="60"/>
        <w:ind w:hanging="0" w:left="0"/>
        <w:rPr/>
      </w:pPr>
      <w:sdt>
        <w:sdtPr>
          <w:id w:val="-508835216"/>
          <w14:checkbox>
            <w14:checked w14:val="0"/>
            <w14:checkedState w14:val="2612"/>
            <w14:uncheckedState w14:val="2610"/>
          </w14:checkbox>
        </w:sdtPr>
        <w:sdtContent>
          <w:r>
            <w:rPr>
              <w:rFonts w:eastAsia="MS Gothic" w:cs="Segoe UI Symbol" w:ascii="Segoe UI Symbol" w:hAnsi="Segoe UI Symbol"/>
            </w:rPr>
          </w:r>
          <w:r>
            <w:rPr>
              <w:rFonts w:eastAsia="MS Gothic" w:cs="Segoe UI Symbol" w:ascii="Segoe UI Symbol" w:hAnsi="Segoe UI Symbol"/>
            </w:rPr>
            <w:t>☐</w:t>
          </w:r>
        </w:sdtContent>
      </w:sdt>
      <w:r>
        <w:rPr/>
        <w:t xml:space="preserve"> </w:t>
      </w:r>
      <w:r>
        <w:rPr/>
        <w:t>3.4. audyt krajobrazowy</w:t>
      </w:r>
    </w:p>
    <w:p>
      <w:pPr>
        <w:pStyle w:val="Heading3"/>
        <w:spacing w:before="0" w:after="60"/>
        <w:ind w:hanging="0" w:left="0"/>
        <w:rPr/>
      </w:pPr>
      <w:sdt>
        <w:sdtPr>
          <w:id w:val="1195965244"/>
          <w14:checkbox>
            <w14:checked w14:val="0"/>
            <w14:checkedState w14:val="2612"/>
            <w14:uncheckedState w14:val="2610"/>
          </w14:checkbox>
        </w:sdtPr>
        <w:sdtContent>
          <w:r>
            <w:rPr>
              <w:rFonts w:eastAsia="MS Gothic" w:cs="Segoe UI Symbol" w:ascii="Segoe UI Symbol" w:hAnsi="Segoe UI Symbol"/>
            </w:rPr>
          </w:r>
          <w:r>
            <w:rPr>
              <w:rFonts w:eastAsia="MS Gothic" w:cs="Segoe UI Symbol" w:ascii="Segoe UI Symbol" w:hAnsi="Segoe UI Symbol"/>
            </w:rPr>
            <w:t>☐</w:t>
          </w:r>
        </w:sdtContent>
      </w:sdt>
      <w:r>
        <w:rPr/>
        <w:t xml:space="preserve"> </w:t>
      </w:r>
      <w:r>
        <w:rPr/>
        <w:t>3.5. plan zagospodarowania przestrzennego województwa</w:t>
      </w:r>
      <w:bookmarkEnd w:id="4"/>
      <w:bookmarkEnd w:id="5"/>
    </w:p>
    <w:p>
      <w:pPr>
        <w:pStyle w:val="Heading2"/>
        <w:ind w:firstLine="108" w:left="0"/>
        <w:rPr/>
      </w:pPr>
      <w:r>
        <w:rPr/>
        <w:t xml:space="preserve">4. DANE </w:t>
      </w:r>
      <w:bookmarkStart w:id="6" w:name="_Ref93054123"/>
      <w:r>
        <w:rPr/>
        <w:t>SKŁADAJĄCEGO PISMO</w:t>
      </w:r>
      <w:r>
        <w:rPr>
          <w:rStyle w:val="EndnoteReference"/>
          <w:b w:val="false"/>
          <w:bCs w:val="false"/>
        </w:rPr>
        <w:endnoteReference w:id="5"/>
      </w:r>
      <w:bookmarkEnd w:id="6"/>
      <w:r>
        <w:rPr>
          <w:rStyle w:val="EndnoteCharacters"/>
          <w:b w:val="false"/>
        </w:rPr>
        <w:t>)</w:t>
      </w:r>
    </w:p>
    <w:p>
      <w:pPr>
        <w:pStyle w:val="Normal"/>
        <w:rPr/>
      </w:pPr>
      <w:bookmarkStart w:id="7" w:name="_Hlk39475881"/>
      <w:bookmarkStart w:id="8" w:name="_Hlk39476049"/>
      <w:bookmarkStart w:id="9" w:name="_Hlk39476603_Copy_1"/>
      <w:bookmarkEnd w:id="8"/>
      <w:bookmarkEnd w:id="9"/>
      <w:r>
        <w:rPr/>
        <w:t xml:space="preserve">Imię i nazwisko lub nazwa: </w:t>
      </w:r>
      <w:r>
        <w:rPr>
          <w:b/>
          <w:bCs/>
          <w:color w:val="C9211E"/>
        </w:rPr>
        <w:t>UZUPEŁNIJ</w:t>
      </w:r>
      <w:r>
        <w:rPr/>
        <w:t>…………………………………………….…………..............................…</w:t>
      </w:r>
    </w:p>
    <w:p>
      <w:pPr>
        <w:pStyle w:val="Normal"/>
        <w:rPr/>
      </w:pPr>
      <w:r>
        <w:rPr/>
        <w:t>Kraj: Polska…………………. Województwo: wielkopolskie…………………………………....................................</w:t>
      </w:r>
    </w:p>
    <w:p>
      <w:pPr>
        <w:pStyle w:val="Normal"/>
        <w:rPr/>
      </w:pPr>
      <w:r>
        <w:rPr/>
        <w:t xml:space="preserve">Powiat: poznański………………….. Gmina: </w:t>
      </w:r>
      <w:r>
        <w:rPr>
          <w:b/>
          <w:bCs/>
          <w:color w:val="C9211E"/>
        </w:rPr>
        <w:t>UZUPEŁNIJ</w:t>
      </w:r>
      <w:r>
        <w:rPr/>
        <w:t>………………………………………………</w:t>
      </w:r>
    </w:p>
    <w:p>
      <w:pPr>
        <w:pStyle w:val="Normal"/>
        <w:rPr/>
      </w:pPr>
      <w:bookmarkStart w:id="10" w:name="_Hlk62123598"/>
      <w:r>
        <w:rPr/>
        <w:t xml:space="preserve">Ulica: </w:t>
      </w:r>
      <w:r>
        <w:rPr>
          <w:b/>
          <w:bCs/>
          <w:color w:val="C9211E"/>
        </w:rPr>
        <w:t>UZUPEŁNIJ</w:t>
      </w:r>
      <w:r>
        <w:rPr/>
        <w:t xml:space="preserve">………………………………… Nr domu: </w:t>
      </w:r>
      <w:r>
        <w:rPr>
          <w:b/>
          <w:bCs/>
          <w:color w:val="C9211E"/>
        </w:rPr>
        <w:t>UZUPEŁNIJ</w:t>
      </w:r>
      <w:r>
        <w:rPr/>
        <w:t xml:space="preserve"> Nr lokalu: </w:t>
      </w:r>
      <w:r>
        <w:rPr>
          <w:b/>
          <w:bCs/>
          <w:color w:val="C9211E"/>
        </w:rPr>
        <w:t>UZUPEŁNIJ</w:t>
      </w:r>
      <w:r>
        <w:rPr/>
        <w:t>...............</w:t>
      </w:r>
      <w:bookmarkEnd w:id="10"/>
    </w:p>
    <w:p>
      <w:pPr>
        <w:pStyle w:val="Normal"/>
        <w:rPr/>
      </w:pPr>
      <w:r>
        <w:rPr/>
        <w:t xml:space="preserve">Miejscowość: </w:t>
      </w:r>
      <w:r>
        <w:rPr>
          <w:b/>
          <w:bCs/>
          <w:color w:val="C9211E"/>
        </w:rPr>
        <w:t>UZUPEŁNIJ</w:t>
      </w:r>
      <w:r>
        <w:rPr/>
        <w:t xml:space="preserve">……………………………. Kod pocztowy: </w:t>
      </w:r>
      <w:r>
        <w:rPr>
          <w:b/>
          <w:bCs/>
          <w:color w:val="C9211E"/>
        </w:rPr>
        <w:t>UZUPEŁNIJ</w:t>
      </w:r>
      <w:r>
        <w:rPr/>
        <w:t>…………………….</w:t>
      </w:r>
    </w:p>
    <w:p>
      <w:pPr>
        <w:pStyle w:val="Normal"/>
        <w:rPr>
          <w:szCs w:val="20"/>
        </w:rPr>
      </w:pPr>
      <w:r>
        <w:rPr>
          <w:szCs w:val="20"/>
        </w:rPr>
        <w:t>E-mail</w:t>
      </w:r>
      <w:bookmarkStart w:id="11" w:name="_Ref85021366"/>
      <w:r>
        <w:rPr>
          <w:szCs w:val="20"/>
        </w:rPr>
        <w:t xml:space="preserve"> (w przypadku gdy składający pismo posiada adres e-mail):</w:t>
      </w:r>
      <w:bookmarkEnd w:id="11"/>
      <w:r>
        <w:rPr>
          <w:szCs w:val="20"/>
        </w:rPr>
        <w:t xml:space="preserve"> </w:t>
      </w:r>
      <w:r>
        <w:rPr>
          <w:b/>
          <w:bCs/>
          <w:color w:val="C9211E"/>
          <w:szCs w:val="20"/>
        </w:rPr>
        <w:t>UZUPEŁNIJ</w:t>
      </w:r>
      <w:r>
        <w:rPr>
          <w:szCs w:val="20"/>
        </w:rPr>
        <w:t>………………………….</w:t>
      </w:r>
    </w:p>
    <w:p>
      <w:pPr>
        <w:pStyle w:val="Normal"/>
        <w:rPr>
          <w:szCs w:val="20"/>
        </w:rPr>
      </w:pPr>
      <w:r>
        <w:rPr>
          <w:szCs w:val="20"/>
        </w:rPr>
        <w:t xml:space="preserve">Nr tel. (nieobowiązkowo): </w:t>
      </w:r>
      <w:r>
        <w:rPr>
          <w:b/>
          <w:bCs/>
          <w:color w:val="C9211E"/>
          <w:szCs w:val="20"/>
        </w:rPr>
        <w:t>UZU</w:t>
      </w:r>
      <w:bookmarkEnd w:id="7"/>
      <w:r>
        <w:rPr>
          <w:b/>
          <w:bCs/>
          <w:color w:val="C9211E"/>
          <w:szCs w:val="20"/>
        </w:rPr>
        <w:t>PEŁNIJ</w:t>
      </w:r>
      <w:r>
        <w:rPr>
          <w:szCs w:val="20"/>
        </w:rPr>
        <w:t>...............................................................................................................</w:t>
      </w:r>
    </w:p>
    <w:p>
      <w:pPr>
        <w:pStyle w:val="Normal"/>
        <w:rPr/>
      </w:pPr>
      <w:r>
        <w:rPr/>
        <w:t>Adres skrytki ePUAP lub adres do doręczeń elektronicznych</w:t>
      </w:r>
      <w:bookmarkStart w:id="12" w:name="_Ref141442516"/>
      <w:r>
        <w:rPr>
          <w:rStyle w:val="EndnoteReference"/>
        </w:rPr>
        <w:endnoteReference w:id="6"/>
      </w:r>
      <w:bookmarkEnd w:id="12"/>
      <w:r>
        <w:rPr>
          <w:rStyle w:val="EndnoteCharacters"/>
        </w:rPr>
        <w:t>)</w:t>
      </w:r>
      <w:r>
        <w:rPr>
          <w:szCs w:val="20"/>
        </w:rPr>
        <w:t>:</w:t>
      </w:r>
      <w:r>
        <w:rPr/>
        <w:t xml:space="preserve"> </w:t>
      </w:r>
      <w:r>
        <w:rPr>
          <w:b/>
          <w:bCs/>
          <w:color w:val="C9211E"/>
          <w:szCs w:val="20"/>
        </w:rPr>
        <w:t>UZUPEŁNIJ (opcjonalne)</w:t>
      </w:r>
      <w:r>
        <w:rPr/>
        <w:t>……...…………......</w:t>
      </w:r>
    </w:p>
    <w:p>
      <w:pPr>
        <w:pStyle w:val="Heading3"/>
        <w:ind w:hanging="5" w:left="0"/>
        <w:rPr/>
      </w:pPr>
      <w:r>
        <w:rPr/>
        <w:t>4.1. Czy składający pismo jest właścicielem lub użytkownikiem wieczystym nieruchomości objętej wnioskiem lub uwagą?</w:t>
      </w:r>
    </w:p>
    <w:p>
      <w:pPr>
        <w:pStyle w:val="Normal"/>
        <w:rPr/>
      </w:pPr>
      <w:sdt>
        <w:sdtPr>
          <w:id w:val="589667619"/>
          <w14:checkbox>
            <w14:checked w14:val="0"/>
            <w14:checkedState w14:val="2612"/>
            <w14:uncheckedState w14:val="2610"/>
          </w14:checkbox>
        </w:sdtPr>
        <w:sdtContent>
          <w:r>
            <w:rPr>
              <w:rFonts w:eastAsia="MS Gothic" w:ascii="MS Gothic" w:hAnsi="MS Gothic"/>
              <w:lang w:eastAsia="en-US"/>
            </w:rPr>
          </w:r>
          <w:r>
            <w:rPr>
              <w:rFonts w:eastAsia="MS Gothic" w:ascii="MS Gothic" w:hAnsi="MS Gothic"/>
              <w:lang w:eastAsia="en-US"/>
            </w:rPr>
            <w:t>☐</w:t>
          </w:r>
        </w:sdtContent>
      </w:sdt>
      <w:r>
        <w:rPr>
          <w:lang w:eastAsia="en-US"/>
        </w:rPr>
        <w:t xml:space="preserve"> </w:t>
      </w:r>
      <w:r>
        <w:rPr>
          <w:sz w:val="16"/>
          <w:szCs w:val="16"/>
          <w:lang w:eastAsia="en-US"/>
        </w:rPr>
        <w:t xml:space="preserve">tak   </w:t>
      </w:r>
      <w:r>
        <w:rPr>
          <w:lang w:eastAsia="en-US"/>
        </w:rPr>
        <w:t xml:space="preserve">     </w:t>
      </w:r>
      <w:sdt>
        <w:sdtPr>
          <w:id w:val="-1654526958"/>
          <w14:checkbox>
            <w14:checked w14:val="1"/>
            <w14:checkedState w14:val="2612"/>
            <w14:uncheckedState w14:val="2610"/>
          </w14:checkbox>
        </w:sdtPr>
        <w:sdtContent>
          <w:r>
            <w:rPr>
              <w:lang w:eastAsia="en-US"/>
            </w:rPr>
          </w:r>
          <w:r>
            <w:rPr>
              <w:lang w:eastAsia="en-US"/>
            </w:rPr>
            <w:t>☒</w:t>
          </w:r>
        </w:sdtContent>
      </w:sdt>
      <w:r>
        <w:rPr>
          <w:lang w:eastAsia="en-US"/>
        </w:rPr>
        <w:t xml:space="preserve"> </w:t>
      </w:r>
      <w:r>
        <w:rPr>
          <w:sz w:val="16"/>
          <w:szCs w:val="16"/>
          <w:lang w:eastAsia="en-US"/>
        </w:rPr>
        <w:t>nie</w:t>
      </w:r>
    </w:p>
    <w:p>
      <w:pPr>
        <w:pStyle w:val="Heading2"/>
        <w:ind w:firstLine="108" w:left="0"/>
        <w:rPr/>
      </w:pPr>
      <w:r>
        <w:rPr/>
        <w:t>5. ADRES DO KORESPONDENCJI SKŁADAJĄCEGO PISMO</w:t>
      </w:r>
      <w:r>
        <w:rPr>
          <w:rStyle w:val="EndnoteCharacters"/>
          <w:b w:val="false"/>
        </w:rPr>
        <w:t>4)</w:t>
      </w:r>
    </w:p>
    <w:p>
      <w:pPr>
        <w:pStyle w:val="Normal"/>
        <w:rPr/>
      </w:pPr>
      <w:r>
        <w:rPr/>
        <w:t>(Nieobowiązkowo)</w:t>
      </w:r>
    </w:p>
    <w:p>
      <w:pPr>
        <w:pStyle w:val="Normal"/>
        <w:rPr/>
      </w:pPr>
      <w:r>
        <w:rPr/>
        <w:t>Kraj: …………………………………. Województwo: .…………………………………………………………………...</w:t>
      </w:r>
    </w:p>
    <w:p>
      <w:pPr>
        <w:pStyle w:val="Normal"/>
        <w:rPr/>
      </w:pPr>
      <w:r>
        <w:rPr/>
        <w:t>Powiat: ………………………………………….. Gmina: .………………..………………………………………………</w:t>
      </w:r>
    </w:p>
    <w:p>
      <w:pPr>
        <w:pStyle w:val="Normal"/>
        <w:rPr/>
      </w:pPr>
      <w:r>
        <w:rPr/>
        <w:t>Ulica: ………………………………………………………… Nr domu: …… Nr lokalu: ……………………................</w:t>
      </w:r>
    </w:p>
    <w:p>
      <w:pPr>
        <w:pStyle w:val="Normal"/>
        <w:rPr/>
      </w:pPr>
      <w:r>
        <w:rPr/>
        <w:t>Miejscowość: ……………………………………………………. Kod pocztowy: ...…………………………………….</w:t>
      </w:r>
    </w:p>
    <w:p>
      <w:pPr>
        <w:pStyle w:val="Heading2"/>
        <w:ind w:firstLine="108" w:left="0"/>
        <w:rPr/>
      </w:pPr>
      <w:bookmarkStart w:id="13" w:name="_Hlk39476200"/>
      <w:bookmarkStart w:id="14" w:name="_Hlk39476049_Copy_1"/>
      <w:bookmarkEnd w:id="13"/>
      <w:bookmarkEnd w:id="14"/>
      <w:r>
        <w:rPr/>
        <w:t>6. DANE PEŁNOMOCNIKA</w:t>
      </w:r>
      <w:r>
        <w:rPr>
          <w:rStyle w:val="EndnoteCharacters"/>
          <w:b w:val="false"/>
        </w:rPr>
        <w:t>4)</w:t>
      </w:r>
    </w:p>
    <w:p>
      <w:pPr>
        <w:pStyle w:val="Normal"/>
        <w:rPr>
          <w:szCs w:val="20"/>
        </w:rPr>
      </w:pPr>
      <w:r>
        <w:rPr>
          <w:szCs w:val="20"/>
        </w:rPr>
        <w:t>(Nieobowiązkowo)</w:t>
      </w:r>
    </w:p>
    <w:p>
      <w:pPr>
        <w:pStyle w:val="Normal"/>
        <w:tabs>
          <w:tab w:val="clear" w:pos="708"/>
          <w:tab w:val="left" w:pos="2182" w:leader="none"/>
        </w:tabs>
        <w:rPr>
          <w:lang w:eastAsia="en-US"/>
        </w:rPr>
      </w:pPr>
      <w:sdt>
        <w:sdtPr>
          <w:id w:val="302428652"/>
          <w14:checkbox>
            <w14:checked w14:val="0"/>
            <w14:checkedState w14:val="2612"/>
            <w14:uncheckedState w14:val="2610"/>
          </w14:checkbox>
        </w:sdtPr>
        <w:sdtContent>
          <w:r>
            <w:rPr>
              <w:rFonts w:eastAsia="MS Gothic" w:ascii="MS Gothic" w:hAnsi="MS Gothic"/>
              <w:lang w:eastAsia="en-US"/>
            </w:rPr>
          </w:r>
          <w:r>
            <w:rPr>
              <w:rFonts w:eastAsia="MS Gothic" w:ascii="MS Gothic" w:hAnsi="MS Gothic"/>
              <w:lang w:eastAsia="en-US"/>
            </w:rPr>
            <w:t>☐</w:t>
          </w:r>
        </w:sdtContent>
      </w:sdt>
      <w:r>
        <w:rPr>
          <w:lang w:eastAsia="en-US"/>
        </w:rPr>
        <w:t xml:space="preserve">  </w:t>
      </w:r>
      <w:r>
        <w:rPr>
          <w:lang w:eastAsia="en-US"/>
        </w:rPr>
        <w:t xml:space="preserve">pełnomocnik </w:t>
      </w:r>
      <w:r>
        <w:rPr/>
        <w:t xml:space="preserve">     </w:t>
      </w:r>
      <w:sdt>
        <w:sdtPr>
          <w:id w:val="287247286"/>
          <w14:checkbox>
            <w14:checked w14:val="0"/>
            <w14:checkedState w14:val="2612"/>
            <w14:uncheckedState w14:val="2610"/>
          </w14:checkbox>
        </w:sdtPr>
        <w:sdtContent>
          <w:r>
            <w:rPr/>
          </w:r>
          <w:r>
            <w:rPr>
              <w:rFonts w:eastAsia="MS Gothic" w:ascii="MS Gothic" w:hAnsi="MS Gothic"/>
              <w:lang w:eastAsia="en-US"/>
            </w:rPr>
            <w:t>☐</w:t>
          </w:r>
        </w:sdtContent>
      </w:sdt>
      <w:r>
        <w:rPr>
          <w:lang w:eastAsia="en-US"/>
        </w:rPr>
        <w:t xml:space="preserve">  </w:t>
      </w:r>
      <w:r>
        <w:rPr/>
        <w:t>pełnomocnik do doręczeń</w:t>
      </w:r>
    </w:p>
    <w:p>
      <w:pPr>
        <w:pStyle w:val="Normal"/>
        <w:rPr/>
      </w:pPr>
      <w:bookmarkStart w:id="15" w:name="_Hlk39479541"/>
      <w:bookmarkStart w:id="16" w:name="_Hlk39476200_Copy_1"/>
      <w:bookmarkEnd w:id="15"/>
      <w:bookmarkEnd w:id="16"/>
      <w:r>
        <w:rPr/>
        <w:t>Imię i nazwisko: ……………………………………………………………………………………………...……………..</w:t>
      </w:r>
    </w:p>
    <w:p>
      <w:pPr>
        <w:pStyle w:val="Normal"/>
        <w:rPr/>
      </w:pPr>
      <w:r>
        <w:rPr/>
        <w:t>Kraj: …………………………………. Województwo: .…………………………………………………………………...</w:t>
      </w:r>
    </w:p>
    <w:p>
      <w:pPr>
        <w:pStyle w:val="Normal"/>
        <w:rPr/>
      </w:pPr>
      <w:r>
        <w:rPr/>
        <w:t>Powiat: ………………………………………….. Gmina: .………………..………………………………………………</w:t>
      </w:r>
    </w:p>
    <w:p>
      <w:pPr>
        <w:pStyle w:val="Normal"/>
        <w:rPr/>
      </w:pPr>
      <w:r>
        <w:rPr/>
        <w:t>Ulica: ………………………………………………………… Nr domu: …… Nr lokalu: ……………………................</w:t>
      </w:r>
    </w:p>
    <w:p>
      <w:pPr>
        <w:pStyle w:val="Normal"/>
        <w:rPr/>
      </w:pPr>
      <w:bookmarkStart w:id="17" w:name="_Hlk60938603"/>
      <w:r>
        <w:rPr/>
        <w:t xml:space="preserve">Miejscowość: ……………………………………………………. Kod pocztowy:...…………………………………….. </w:t>
      </w:r>
      <w:bookmarkEnd w:id="17"/>
    </w:p>
    <w:p>
      <w:pPr>
        <w:pStyle w:val="Normal"/>
        <w:jc w:val="both"/>
        <w:rPr>
          <w:szCs w:val="20"/>
        </w:rPr>
      </w:pPr>
      <w:r>
        <w:rPr>
          <w:szCs w:val="20"/>
        </w:rPr>
        <w:t xml:space="preserve">E-mail (w przypadku gdy pełnomocnik posiada adres e-mail): ………………………………………………………. </w:t>
      </w:r>
    </w:p>
    <w:p>
      <w:pPr>
        <w:pStyle w:val="Normal"/>
        <w:jc w:val="both"/>
        <w:rPr>
          <w:szCs w:val="20"/>
        </w:rPr>
      </w:pPr>
      <w:r>
        <w:rPr>
          <w:szCs w:val="20"/>
        </w:rPr>
        <w:t>Nr tel. (nieobowiązkowo): .………………..…………...............................................................................................</w:t>
      </w:r>
    </w:p>
    <w:p>
      <w:pPr>
        <w:pStyle w:val="Normal"/>
        <w:rPr>
          <w:rFonts w:eastAsia="Calibri"/>
          <w:iCs w:val="false"/>
          <w:sz w:val="24"/>
          <w:lang w:eastAsia="en-US"/>
        </w:rPr>
      </w:pPr>
      <w:r>
        <w:rPr>
          <w:szCs w:val="20"/>
        </w:rPr>
        <w:t>Adres skrytki ePUAP</w:t>
      </w:r>
      <w:r>
        <w:rPr/>
        <w:t xml:space="preserve"> lub adres do doręczeń elektronicznych</w:t>
      </w:r>
      <w:r>
        <w:rPr>
          <w:rStyle w:val="EndnoteCharacters"/>
        </w:rPr>
        <w:t>5)</w:t>
      </w:r>
      <w:r>
        <w:rPr>
          <w:szCs w:val="20"/>
        </w:rPr>
        <w:t>:</w:t>
      </w:r>
      <w:r>
        <w:rPr/>
        <w:t xml:space="preserve"> …………………………….……………...………...</w:t>
      </w:r>
    </w:p>
    <w:p>
      <w:pPr>
        <w:pStyle w:val="Heading2"/>
        <w:ind w:firstLine="108" w:left="0"/>
        <w:rPr/>
      </w:pPr>
      <w:r>
        <w:rPr/>
        <w:t>7. TREŚĆ PISMA</w:t>
      </w:r>
    </w:p>
    <w:p>
      <w:pPr>
        <w:pStyle w:val="Heading3"/>
        <w:ind w:hanging="0" w:left="0"/>
        <w:rPr/>
      </w:pPr>
      <w:r>
        <w:rPr/>
        <w:t>7.1. Treść</w:t>
      </w:r>
      <w:r>
        <w:rPr>
          <w:rStyle w:val="EndnoteReference"/>
        </w:rPr>
        <w:endnoteReference w:id="7"/>
      </w:r>
      <w:r>
        <w:rPr>
          <w:rStyle w:val="EndnoteCharacters"/>
        </w:rPr>
        <w:t xml:space="preserve">) </w:t>
      </w:r>
    </w:p>
    <w:p>
      <w:pPr>
        <w:pStyle w:val="Normal"/>
        <w:rPr/>
      </w:pPr>
      <w:r>
        <w:rPr>
          <w:b w:val="false"/>
          <w:bCs w:val="false"/>
        </w:rPr>
        <w:t>Jako mieszkaniec lokalnej społeczności oraz bezpośredni interesariusz zmian w ładzie przestrzennym tego rejonu z</w:t>
      </w:r>
      <w:r>
        <w:rPr/>
        <w:t xml:space="preserve">głaszam stanowczy sprzeciw wobec planowanego w projekcie Planu Ogólnego Gminy Dopiewo przeznaczenia pod Strefę Usługową działek nr 339, 340, 341/1, 341/2, 338/1-338/7 (obręb Dąbrowa), identyfikator strefy: 116SU. </w:t>
      </w:r>
      <w:r>
        <w:rPr>
          <w:b/>
          <w:bCs/>
        </w:rPr>
        <w:t>Wnoszę o ustanowienie na przedmiotowym terenie Strefy wielofunkcyjnej z zabudową mieszkaniową jednorodzinną</w:t>
      </w:r>
      <w:r>
        <w:rPr/>
        <w:t xml:space="preserve">, </w:t>
      </w:r>
      <w:r>
        <w:rPr>
          <w:b/>
          <w:bCs/>
        </w:rPr>
        <w:t xml:space="preserve">zgodnie z </w:t>
      </w:r>
      <w:r>
        <w:rPr>
          <w:b/>
          <w:bCs/>
          <w:lang w:val="pl-PL"/>
        </w:rPr>
        <w:t>dotychczas obowiązującym Studium uwarunkowań</w:t>
      </w:r>
      <w:r>
        <w:rPr>
          <w:lang w:val="pl-PL"/>
        </w:rPr>
        <w:t xml:space="preserve">  (symbol M1), </w:t>
      </w:r>
      <w:r>
        <w:rPr/>
        <w:t xml:space="preserve">przy określeniu następujących parametrów brzegowych: maksymalna nadziemna intensywność zabudowy: </w:t>
      </w:r>
      <w:r>
        <w:rPr>
          <w:b/>
          <w:bCs/>
        </w:rPr>
        <w:t>0.6</w:t>
      </w:r>
      <w:r>
        <w:rPr/>
        <w:t xml:space="preserve">, maksymalna wysokość zabudowy: </w:t>
      </w:r>
      <w:r>
        <w:rPr>
          <w:b/>
          <w:bCs/>
        </w:rPr>
        <w:t>9 m</w:t>
      </w:r>
      <w:r>
        <w:rPr/>
        <w:t xml:space="preserve">, maksymalny udział powierzchni zabudowy: </w:t>
      </w:r>
      <w:r>
        <w:rPr>
          <w:b/>
          <w:bCs/>
        </w:rPr>
        <w:t>30%</w:t>
      </w:r>
      <w:r>
        <w:rPr/>
        <w:t xml:space="preserve"> oraz minimalny udział powierzchni biologicznie czynnej: </w:t>
      </w:r>
      <w:r>
        <w:rPr>
          <w:b/>
          <w:bCs/>
        </w:rPr>
        <w:t>55%</w:t>
      </w:r>
      <w:r>
        <w:rPr/>
        <w:t>.</w:t>
      </w:r>
    </w:p>
    <w:p>
      <w:pPr>
        <w:pStyle w:val="Normal"/>
        <w:rPr/>
      </w:pPr>
      <w:r>
        <w:rPr/>
      </w:r>
    </w:p>
    <w:p>
      <w:pPr>
        <w:pStyle w:val="Normal"/>
        <w:rPr>
          <w:b/>
          <w:bCs/>
        </w:rPr>
      </w:pPr>
      <w:r>
        <w:rPr>
          <w:b/>
          <w:bCs/>
        </w:rPr>
        <w:t>Szczegółowe uzasadnienie zawiera załącznik nr 1 do niniejszego pisma.</w:t>
      </w:r>
    </w:p>
    <w:p>
      <w:pPr>
        <w:pStyle w:val="Heading3"/>
        <w:ind w:hanging="0" w:left="0"/>
        <w:rPr>
          <w:b w:val="false"/>
          <w:bCs w:val="false"/>
        </w:rPr>
      </w:pPr>
      <w:r>
        <w:rPr>
          <w:b w:val="false"/>
          <w:bCs w:val="false"/>
        </w:rPr>
      </w:r>
    </w:p>
    <w:p>
      <w:pPr>
        <w:pStyle w:val="Normal"/>
        <w:ind w:hanging="0" w:left="0"/>
        <w:rPr>
          <w:b w:val="false"/>
          <w:bCs w:val="false"/>
        </w:rPr>
      </w:pPr>
      <w:r>
        <w:rPr>
          <w:b w:val="false"/>
          <w:bCs w:val="false"/>
        </w:rPr>
      </w:r>
    </w:p>
    <w:p>
      <w:pPr>
        <w:pStyle w:val="Heading3"/>
        <w:ind w:hanging="0" w:left="0"/>
        <w:rPr/>
      </w:pPr>
      <w:r>
        <w:rPr/>
        <w:t>7.2. (Nieobowiązkowo) W przypadku wypełnienia, należy uzupełnić każdą z kolumn tabeli.</w:t>
      </w:r>
    </w:p>
    <w:p>
      <w:pPr>
        <w:pStyle w:val="Normal"/>
        <w:widowControl/>
        <w:spacing w:lineRule="auto" w:line="276" w:before="120" w:after="60"/>
        <w:ind w:left="142"/>
        <w:rPr>
          <w:lang w:eastAsia="en-US"/>
        </w:rPr>
      </w:pPr>
      <w:r>
        <w:rPr>
          <w:spacing w:val="-4"/>
        </w:rPr>
        <w:t>Szczegółowe informacje dotyczące treści pisma w odniesieniu do działek ewidencyjnych:</w:t>
      </w:r>
    </w:p>
    <w:tbl>
      <w:tblPr>
        <w:tblStyle w:val="Tabela-Siatka"/>
        <w:tblW w:w="995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48"/>
        <w:gridCol w:w="1418"/>
        <w:gridCol w:w="1423"/>
        <w:gridCol w:w="1554"/>
        <w:gridCol w:w="5109"/>
      </w:tblGrid>
      <w:tr>
        <w:trPr>
          <w:tblHeader w:val="true"/>
          <w:trHeight w:val="818" w:hRule="atLeast"/>
        </w:trPr>
        <w:tc>
          <w:tcPr>
            <w:tcW w:w="448" w:type="dxa"/>
            <w:tcBorders/>
            <w:vAlign w:val="center"/>
          </w:tcPr>
          <w:p>
            <w:pPr>
              <w:pStyle w:val="Normal"/>
              <w:suppressAutoHyphens w:val="true"/>
              <w:spacing w:before="0" w:after="0"/>
              <w:jc w:val="center"/>
              <w:rPr>
                <w:sz w:val="16"/>
                <w:szCs w:val="16"/>
              </w:rPr>
            </w:pPr>
            <w:r>
              <w:rPr>
                <w:kern w:val="0"/>
                <w:sz w:val="16"/>
                <w:szCs w:val="16"/>
                <w:lang w:val="pl-PL" w:bidi="ar-SA"/>
              </w:rPr>
              <w:t>Lp.</w:t>
            </w:r>
          </w:p>
        </w:tc>
        <w:tc>
          <w:tcPr>
            <w:tcW w:w="1418" w:type="dxa"/>
            <w:tcBorders/>
          </w:tcPr>
          <w:p>
            <w:pPr>
              <w:pStyle w:val="Heading4"/>
              <w:widowControl/>
              <w:suppressAutoHyphens w:val="true"/>
              <w:spacing w:before="0" w:after="60"/>
              <w:ind w:hanging="0" w:left="29"/>
              <w:jc w:val="center"/>
              <w:rPr>
                <w:kern w:val="0"/>
                <w:lang w:val="pl-PL" w:eastAsia="en-US" w:bidi="ar-SA"/>
              </w:rPr>
            </w:pPr>
            <w:r>
              <w:rPr>
                <w:kern w:val="0"/>
                <w:lang w:val="pl-PL" w:eastAsia="en-US" w:bidi="ar-SA"/>
              </w:rPr>
              <w:t>7.2.1. Nazwa aktu planowania przestrzennego</w:t>
            </w:r>
          </w:p>
        </w:tc>
        <w:tc>
          <w:tcPr>
            <w:tcW w:w="1423" w:type="dxa"/>
            <w:tcBorders/>
          </w:tcPr>
          <w:p>
            <w:pPr>
              <w:pStyle w:val="Heading4"/>
              <w:widowControl/>
              <w:suppressAutoHyphens w:val="true"/>
              <w:spacing w:before="0" w:after="0"/>
              <w:ind w:hanging="0" w:left="0"/>
              <w:jc w:val="center"/>
              <w:rPr>
                <w:kern w:val="0"/>
                <w:lang w:val="pl-PL" w:eastAsia="en-US" w:bidi="ar-SA"/>
              </w:rPr>
            </w:pPr>
            <w:r>
              <w:rPr>
                <w:kern w:val="0"/>
                <w:lang w:val="pl-PL" w:eastAsia="en-US" w:bidi="ar-SA"/>
              </w:rPr>
              <w:t>7.2.2. Identyfikator działki lub działek ewidencyjnych</w:t>
            </w:r>
          </w:p>
        </w:tc>
        <w:tc>
          <w:tcPr>
            <w:tcW w:w="1554" w:type="dxa"/>
            <w:tcBorders/>
          </w:tcPr>
          <w:p>
            <w:pPr>
              <w:pStyle w:val="Heading4"/>
              <w:widowControl/>
              <w:suppressAutoHyphens w:val="true"/>
              <w:spacing w:before="0" w:after="0"/>
              <w:ind w:hanging="0" w:left="0"/>
              <w:jc w:val="center"/>
              <w:rPr>
                <w:szCs w:val="16"/>
              </w:rPr>
            </w:pPr>
            <w:r>
              <w:rPr>
                <w:kern w:val="0"/>
                <w:lang w:val="pl-PL" w:eastAsia="en-US" w:bidi="ar-SA"/>
              </w:rPr>
              <w:t>7.2.3. Czy teren objęty pismem obejmuje całość działki lub działek ewidencyjnych</w:t>
            </w:r>
            <w:r>
              <w:rPr>
                <w:rStyle w:val="EndnoteReference"/>
                <w:kern w:val="0"/>
                <w:szCs w:val="16"/>
                <w:lang w:val="pl-PL" w:eastAsia="en-US" w:bidi="ar-SA"/>
              </w:rPr>
              <w:endnoteReference w:id="8"/>
            </w:r>
            <w:r>
              <w:rPr>
                <w:rStyle w:val="EndnoteCharacters"/>
                <w:kern w:val="0"/>
                <w:szCs w:val="16"/>
                <w:lang w:val="pl-PL" w:eastAsia="en-US" w:bidi="ar-SA"/>
              </w:rPr>
              <w:t>)</w:t>
            </w:r>
          </w:p>
        </w:tc>
        <w:tc>
          <w:tcPr>
            <w:tcW w:w="5109" w:type="dxa"/>
            <w:tcBorders/>
          </w:tcPr>
          <w:p>
            <w:pPr>
              <w:pStyle w:val="Heading4"/>
              <w:widowControl/>
              <w:suppressAutoHyphens w:val="true"/>
              <w:spacing w:before="0" w:after="60"/>
              <w:ind w:hanging="0" w:left="0"/>
              <w:jc w:val="center"/>
              <w:rPr>
                <w:szCs w:val="16"/>
              </w:rPr>
            </w:pPr>
            <w:r>
              <w:rPr>
                <w:kern w:val="0"/>
                <w:lang w:val="pl-PL" w:eastAsia="en-US" w:bidi="ar-SA"/>
              </w:rPr>
              <w:t>7.2.4. Treść</w:t>
            </w:r>
            <w:r>
              <w:rPr>
                <w:rStyle w:val="EndnoteCharacters"/>
                <w:kern w:val="0"/>
                <w:sz w:val="20"/>
                <w:szCs w:val="28"/>
                <w:lang w:val="pl-PL" w:eastAsia="en-US" w:bidi="ar-SA"/>
              </w:rPr>
              <w:t>6)</w:t>
            </w:r>
          </w:p>
        </w:tc>
      </w:tr>
      <w:tr>
        <w:trPr/>
        <w:tc>
          <w:tcPr>
            <w:tcW w:w="448" w:type="dxa"/>
            <w:tcBorders/>
            <w:vAlign w:val="center"/>
          </w:tcPr>
          <w:p>
            <w:pPr>
              <w:pStyle w:val="Normal"/>
              <w:numPr>
                <w:ilvl w:val="0"/>
                <w:numId w:val="0"/>
              </w:numPr>
              <w:suppressAutoHyphens w:val="true"/>
              <w:spacing w:before="0" w:after="0"/>
              <w:ind w:hanging="505" w:left="505"/>
              <w:jc w:val="left"/>
              <w:outlineLvl w:val="3"/>
              <w:rPr>
                <w:sz w:val="16"/>
                <w:szCs w:val="16"/>
              </w:rPr>
            </w:pPr>
            <w:r>
              <w:rPr>
                <w:kern w:val="0"/>
                <w:sz w:val="16"/>
                <w:szCs w:val="16"/>
                <w:lang w:val="pl-PL" w:bidi="ar-SA"/>
              </w:rPr>
              <w:t>1</w:t>
            </w:r>
          </w:p>
        </w:tc>
        <w:tc>
          <w:tcPr>
            <w:tcW w:w="1418" w:type="dxa"/>
            <w:tcBorders/>
          </w:tcPr>
          <w:p>
            <w:pPr>
              <w:pStyle w:val="Normal"/>
              <w:suppressAutoHyphens w:val="true"/>
              <w:spacing w:before="0" w:after="0"/>
              <w:jc w:val="left"/>
              <w:rPr>
                <w:kern w:val="0"/>
                <w:szCs w:val="22"/>
                <w:lang w:val="pl-PL" w:bidi="ar-SA"/>
              </w:rPr>
            </w:pPr>
            <w:r>
              <w:rPr>
                <w:kern w:val="0"/>
                <w:szCs w:val="22"/>
                <w:lang w:val="pl-PL" w:bidi="ar-SA"/>
              </w:rPr>
              <w:t>Projekt Planu Ogólnego Gminy Dopiewo (strefa 116SU)</w:t>
            </w:r>
          </w:p>
        </w:tc>
        <w:tc>
          <w:tcPr>
            <w:tcW w:w="1423" w:type="dxa"/>
            <w:tcBorders/>
          </w:tcPr>
          <w:p>
            <w:pPr>
              <w:pStyle w:val="Normal"/>
              <w:suppressAutoHyphens w:val="true"/>
              <w:spacing w:before="0" w:after="0"/>
              <w:jc w:val="center"/>
              <w:rPr>
                <w:rFonts w:ascii="MS Gothic" w:hAnsi="MS Gothic" w:eastAsia="MS Gothic"/>
                <w:sz w:val="14"/>
                <w:szCs w:val="14"/>
              </w:rPr>
            </w:pPr>
            <w:r>
              <w:rPr>
                <w:kern w:val="0"/>
                <w:szCs w:val="22"/>
                <w:lang w:val="pl-PL" w:bidi="ar-SA"/>
              </w:rPr>
              <w:t>339, 340, 341/1, 341/2, 338/1,</w:t>
            </w:r>
          </w:p>
          <w:p>
            <w:pPr>
              <w:pStyle w:val="Normal"/>
              <w:suppressAutoHyphens w:val="true"/>
              <w:spacing w:before="0" w:after="0"/>
              <w:jc w:val="center"/>
              <w:rPr>
                <w:rFonts w:ascii="MS Gothic" w:hAnsi="MS Gothic" w:eastAsia="MS Gothic"/>
                <w:sz w:val="14"/>
                <w:szCs w:val="14"/>
              </w:rPr>
            </w:pPr>
            <w:r>
              <w:rPr>
                <w:kern w:val="0"/>
                <w:szCs w:val="22"/>
                <w:lang w:val="pl-PL" w:bidi="ar-SA"/>
              </w:rPr>
              <w:t>338/2, 338/3, 338/4,</w:t>
            </w:r>
          </w:p>
          <w:p>
            <w:pPr>
              <w:pStyle w:val="Normal"/>
              <w:suppressAutoHyphens w:val="true"/>
              <w:spacing w:before="0" w:after="0"/>
              <w:jc w:val="center"/>
              <w:rPr>
                <w:rFonts w:ascii="MS Gothic" w:hAnsi="MS Gothic" w:eastAsia="MS Gothic"/>
                <w:sz w:val="14"/>
                <w:szCs w:val="14"/>
              </w:rPr>
            </w:pPr>
            <w:r>
              <w:rPr>
                <w:kern w:val="0"/>
                <w:szCs w:val="22"/>
                <w:lang w:val="pl-PL" w:bidi="ar-SA"/>
              </w:rPr>
              <w:t>338/5, 338/6, 338/7</w:t>
            </w:r>
          </w:p>
          <w:p>
            <w:pPr>
              <w:pStyle w:val="Normal"/>
              <w:suppressAutoHyphens w:val="true"/>
              <w:spacing w:before="0" w:after="0"/>
              <w:jc w:val="center"/>
              <w:rPr>
                <w:rFonts w:ascii="MS Gothic" w:hAnsi="MS Gothic" w:eastAsia="MS Gothic"/>
                <w:sz w:val="14"/>
                <w:szCs w:val="14"/>
              </w:rPr>
            </w:pPr>
            <w:r>
              <w:rPr>
                <w:kern w:val="0"/>
                <w:szCs w:val="22"/>
                <w:lang w:val="pl-PL" w:bidi="ar-SA"/>
              </w:rPr>
              <w:t>(Obręb Dąbrowa)</w:t>
            </w:r>
          </w:p>
        </w:tc>
        <w:tc>
          <w:tcPr>
            <w:tcW w:w="1554" w:type="dxa"/>
            <w:tcBorders/>
          </w:tcPr>
          <w:p>
            <w:pPr>
              <w:pStyle w:val="Normal"/>
              <w:suppressAutoHyphens w:val="true"/>
              <w:spacing w:before="0" w:after="0"/>
              <w:jc w:val="center"/>
              <w:rPr>
                <w:lang w:eastAsia="en-US"/>
              </w:rPr>
            </w:pPr>
            <w:sdt>
              <w:sdtPr>
                <w:id w:val="629293441"/>
                <w14:checkbox>
                  <w14:checked w14:val="1"/>
                  <w14:checkedState w14:val="2612"/>
                  <w14:uncheckedState w14:val="2610"/>
                </w14:checkbox>
              </w:sdtPr>
              <w:sdtContent>
                <w:r>
                  <w:rPr>
                    <w:rFonts w:eastAsia="MS Gothic" w:ascii="MS Gothic" w:hAnsi="MS Gothic"/>
                    <w:kern w:val="0"/>
                    <w:szCs w:val="22"/>
                    <w:lang w:val="pl-PL" w:eastAsia="en-US" w:bidi="ar-SA"/>
                  </w:rPr>
                </w:r>
                <w:r>
                  <w:rPr>
                    <w:rFonts w:eastAsia="MS Gothic" w:ascii="MS Gothic" w:hAnsi="MS Gothic"/>
                    <w:kern w:val="0"/>
                    <w:szCs w:val="22"/>
                    <w:lang w:val="pl-PL" w:eastAsia="en-US" w:bidi="ar-SA"/>
                  </w:rPr>
                  <w:t>☒</w:t>
                </w:r>
              </w:sdtContent>
            </w:sdt>
            <w:r>
              <w:rPr>
                <w:kern w:val="0"/>
                <w:szCs w:val="22"/>
                <w:lang w:val="pl-PL" w:eastAsia="en-US" w:bidi="ar-SA"/>
              </w:rPr>
              <w:t xml:space="preserve"> </w:t>
            </w:r>
            <w:r>
              <w:rPr>
                <w:kern w:val="0"/>
                <w:sz w:val="16"/>
                <w:szCs w:val="16"/>
                <w:lang w:val="pl-PL" w:eastAsia="en-US" w:bidi="ar-SA"/>
              </w:rPr>
              <w:t>tak</w:t>
            </w:r>
          </w:p>
          <w:p>
            <w:pPr>
              <w:pStyle w:val="Normal"/>
              <w:suppressAutoHyphens w:val="true"/>
              <w:spacing w:before="0" w:after="0"/>
              <w:jc w:val="center"/>
              <w:rPr>
                <w:rFonts w:ascii="MS Gothic" w:hAnsi="MS Gothic" w:eastAsia="MS Gothic"/>
                <w:sz w:val="14"/>
                <w:szCs w:val="14"/>
              </w:rPr>
            </w:pPr>
            <w:sdt>
              <w:sdtPr>
                <w:id w:val="888999039"/>
                <w14:checkbox>
                  <w14:checked w14:val="0"/>
                  <w14:checkedState w14:val="2612"/>
                  <w14:uncheckedState w14:val="2610"/>
                </w14:checkbox>
              </w:sdtPr>
              <w:sdtContent>
                <w:r>
                  <w:rPr>
                    <w:rFonts w:eastAsia="MS Gothic" w:ascii="MS Gothic" w:hAnsi="MS Gothic"/>
                    <w:kern w:val="0"/>
                    <w:szCs w:val="22"/>
                    <w:lang w:val="pl-PL" w:eastAsia="en-US" w:bidi="ar-SA"/>
                  </w:rPr>
                </w:r>
                <w:r>
                  <w:rPr>
                    <w:rFonts w:eastAsia="MS Gothic" w:ascii="MS Gothic" w:hAnsi="MS Gothic"/>
                    <w:kern w:val="0"/>
                    <w:szCs w:val="22"/>
                    <w:lang w:val="pl-PL" w:eastAsia="en-US" w:bidi="ar-SA"/>
                  </w:rPr>
                  <w:t>☐</w:t>
                </w:r>
              </w:sdtContent>
            </w:sdt>
            <w:r>
              <w:rPr>
                <w:kern w:val="0"/>
                <w:szCs w:val="22"/>
                <w:lang w:val="pl-PL" w:eastAsia="en-US" w:bidi="ar-SA"/>
              </w:rPr>
              <w:t xml:space="preserve"> </w:t>
            </w:r>
            <w:r>
              <w:rPr>
                <w:kern w:val="0"/>
                <w:sz w:val="16"/>
                <w:szCs w:val="16"/>
                <w:lang w:val="pl-PL" w:eastAsia="en-US" w:bidi="ar-SA"/>
              </w:rPr>
              <w:t>nie</w:t>
            </w:r>
          </w:p>
        </w:tc>
        <w:tc>
          <w:tcPr>
            <w:tcW w:w="5109" w:type="dxa"/>
            <w:tcBorders/>
          </w:tcPr>
          <w:p>
            <w:pPr>
              <w:pStyle w:val="Normal"/>
              <w:suppressAutoHyphens w:val="true"/>
              <w:spacing w:before="0" w:after="0"/>
              <w:jc w:val="left"/>
              <w:rPr>
                <w:kern w:val="0"/>
                <w:szCs w:val="22"/>
                <w:lang w:val="pl-PL" w:bidi="ar-SA"/>
              </w:rPr>
            </w:pPr>
            <w:r>
              <w:rPr>
                <w:kern w:val="0"/>
                <w:szCs w:val="22"/>
                <w:lang w:val="pl-PL" w:bidi="ar-SA"/>
              </w:rPr>
              <w:t>Wniosek o zmianę przeznaczenia na Strefę wielofunkcyjną z zabudową mieszkaniową jednorodzinną (SJ)</w:t>
            </w:r>
          </w:p>
        </w:tc>
      </w:tr>
    </w:tbl>
    <w:p>
      <w:pPr>
        <w:pStyle w:val="Heading3"/>
        <w:ind w:hanging="0" w:left="0"/>
        <w:rPr/>
      </w:pPr>
      <w:r>
        <w:rPr/>
        <w:t>7.3. (Nieobowiązkowo) W przypadku wypełnienia, należy uzupełnić każdą z kolumn tabeli.</w:t>
      </w:r>
    </w:p>
    <w:p>
      <w:pPr>
        <w:pStyle w:val="Normal"/>
        <w:ind w:left="142"/>
        <w:rPr/>
      </w:pPr>
      <w:bookmarkStart w:id="18" w:name="_Hlk150006504"/>
      <w:r>
        <w:rPr/>
        <w:t>Szczegółowe informacje dotyczące działek ewidencyjnych oraz niektórych parametrów – w przypadku zaznaczenia w pkt 2: wniosku do projektu aktu (pkt 2.1), uwagi do konsultowanego projektu aktu (pkt 2.2) lub wniosku o zmianę aktu (pkt 2.3) oraz w pkt 3: planu ogólnego gminy (pkt 3.1) lub miejscowego planu zagospodarowania przestrzennego, w tym zintegrowanego planu inwestycyjnego lub miejscowego planu rewitalizacji (pkt 3.2):</w:t>
      </w:r>
      <w:bookmarkEnd w:id="18"/>
    </w:p>
    <w:tbl>
      <w:tblPr>
        <w:tblStyle w:val="Tabela-Siatka"/>
        <w:tblW w:w="9945"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51"/>
        <w:gridCol w:w="1562"/>
        <w:gridCol w:w="1421"/>
        <w:gridCol w:w="1273"/>
        <w:gridCol w:w="1536"/>
        <w:gridCol w:w="1162"/>
        <w:gridCol w:w="1276"/>
        <w:gridCol w:w="1262"/>
      </w:tblGrid>
      <w:tr>
        <w:trPr>
          <w:tblHeader w:val="true"/>
          <w:trHeight w:val="234" w:hRule="atLeast"/>
        </w:trPr>
        <w:tc>
          <w:tcPr>
            <w:tcW w:w="451" w:type="dxa"/>
            <w:tcBorders/>
            <w:vAlign w:val="center"/>
          </w:tcPr>
          <w:p>
            <w:pPr>
              <w:pStyle w:val="Normal"/>
              <w:suppressAutoHyphens w:val="true"/>
              <w:spacing w:before="50" w:after="0"/>
              <w:jc w:val="center"/>
              <w:rPr>
                <w:sz w:val="16"/>
                <w:szCs w:val="16"/>
              </w:rPr>
            </w:pPr>
            <w:r>
              <w:rPr>
                <w:kern w:val="0"/>
                <w:sz w:val="16"/>
                <w:szCs w:val="16"/>
                <w:lang w:val="pl-PL" w:bidi="ar-SA"/>
              </w:rPr>
              <w:t>Lp.</w:t>
            </w:r>
          </w:p>
        </w:tc>
        <w:tc>
          <w:tcPr>
            <w:tcW w:w="1562" w:type="dxa"/>
            <w:tcBorders/>
          </w:tcPr>
          <w:p>
            <w:pPr>
              <w:pStyle w:val="Heading4"/>
              <w:widowControl/>
              <w:suppressAutoHyphens w:val="true"/>
              <w:spacing w:before="100" w:after="120"/>
              <w:ind w:hanging="0" w:left="0"/>
              <w:jc w:val="center"/>
              <w:rPr>
                <w:kern w:val="0"/>
                <w:lang w:val="pl-PL" w:eastAsia="en-US" w:bidi="ar-SA"/>
              </w:rPr>
            </w:pPr>
            <w:r>
              <w:rPr>
                <w:kern w:val="0"/>
                <w:lang w:val="pl-PL" w:eastAsia="en-US" w:bidi="ar-SA"/>
              </w:rPr>
              <w:t>7.3.1. Nazwa planu ogólnego gminy lub miejscowego planu zagospodarowania przestrzennego</w:t>
            </w:r>
          </w:p>
        </w:tc>
        <w:tc>
          <w:tcPr>
            <w:tcW w:w="1421" w:type="dxa"/>
            <w:tcBorders/>
          </w:tcPr>
          <w:p>
            <w:pPr>
              <w:pStyle w:val="Heading4"/>
              <w:widowControl/>
              <w:suppressAutoHyphens w:val="true"/>
              <w:spacing w:before="100" w:after="120"/>
              <w:ind w:hanging="0" w:left="0"/>
              <w:jc w:val="center"/>
              <w:rPr>
                <w:kern w:val="0"/>
                <w:lang w:val="pl-PL" w:eastAsia="en-US" w:bidi="ar-SA"/>
              </w:rPr>
            </w:pPr>
            <w:r>
              <w:rPr>
                <w:kern w:val="0"/>
                <w:lang w:val="pl-PL" w:eastAsia="en-US" w:bidi="ar-SA"/>
              </w:rPr>
              <w:t>7.3.2.</w:t>
            </w:r>
          </w:p>
          <w:p>
            <w:pPr>
              <w:pStyle w:val="Heading4"/>
              <w:widowControl/>
              <w:suppressAutoHyphens w:val="true"/>
              <w:spacing w:before="0" w:after="60"/>
              <w:ind w:hanging="0" w:left="0"/>
              <w:jc w:val="center"/>
              <w:rPr>
                <w:kern w:val="0"/>
                <w:lang w:val="pl-PL" w:eastAsia="en-US" w:bidi="ar-SA"/>
              </w:rPr>
            </w:pPr>
            <w:r>
              <w:rPr>
                <w:kern w:val="0"/>
                <w:lang w:val="pl-PL" w:eastAsia="en-US" w:bidi="ar-SA"/>
              </w:rPr>
              <w:t>Identyfikator działki lub działek ewidencyjnych</w:t>
            </w:r>
          </w:p>
        </w:tc>
        <w:tc>
          <w:tcPr>
            <w:tcW w:w="1273" w:type="dxa"/>
            <w:tcBorders/>
          </w:tcPr>
          <w:p>
            <w:pPr>
              <w:pStyle w:val="Heading4"/>
              <w:widowControl/>
              <w:suppressAutoHyphens w:val="true"/>
              <w:spacing w:before="100" w:after="120"/>
              <w:ind w:hanging="0" w:left="0"/>
              <w:jc w:val="center"/>
              <w:rPr>
                <w:szCs w:val="16"/>
              </w:rPr>
            </w:pPr>
            <w:r>
              <w:rPr>
                <w:kern w:val="0"/>
                <w:lang w:val="pl-PL" w:eastAsia="en-US" w:bidi="ar-SA"/>
              </w:rPr>
              <w:t>7.3.3. Czy teren objęty pismem obejmuje całość działki lub działek ewidencyjnych</w:t>
            </w:r>
            <w:r>
              <w:rPr>
                <w:rStyle w:val="EndnoteCharacters"/>
                <w:kern w:val="0"/>
                <w:sz w:val="20"/>
                <w:szCs w:val="20"/>
                <w:lang w:val="pl-PL" w:eastAsia="en-US" w:bidi="ar-SA"/>
              </w:rPr>
              <w:t>7)</w:t>
            </w:r>
          </w:p>
        </w:tc>
        <w:tc>
          <w:tcPr>
            <w:tcW w:w="1536" w:type="dxa"/>
            <w:tcBorders/>
          </w:tcPr>
          <w:p>
            <w:pPr>
              <w:pStyle w:val="Heading4"/>
              <w:widowControl/>
              <w:suppressAutoHyphens w:val="true"/>
              <w:spacing w:before="100" w:after="120"/>
              <w:ind w:hanging="0" w:left="0"/>
              <w:jc w:val="center"/>
              <w:rPr>
                <w:szCs w:val="16"/>
              </w:rPr>
            </w:pPr>
            <w:r>
              <w:rPr>
                <w:kern w:val="0"/>
                <w:lang w:val="pl-PL" w:eastAsia="en-US" w:bidi="ar-SA"/>
              </w:rPr>
              <w:t>7.3.4. Nazwa lub nazwy klasy przeznaczenia terenu (albo symbol lub symbole klasy przeznaczenia terenu)</w:t>
            </w:r>
            <w:r>
              <w:rPr>
                <w:rStyle w:val="EndnoteReference"/>
                <w:kern w:val="0"/>
                <w:sz w:val="20"/>
                <w:szCs w:val="20"/>
                <w:lang w:val="pl-PL" w:eastAsia="en-US" w:bidi="ar-SA"/>
              </w:rPr>
              <w:endnoteReference w:id="9"/>
            </w:r>
            <w:r>
              <w:rPr>
                <w:rStyle w:val="EndnoteCharacters"/>
                <w:kern w:val="0"/>
                <w:sz w:val="20"/>
                <w:szCs w:val="20"/>
                <w:lang w:val="pl-PL" w:eastAsia="en-US" w:bidi="ar-SA"/>
              </w:rPr>
              <w:t>)</w:t>
            </w:r>
          </w:p>
          <w:p>
            <w:pPr>
              <w:pStyle w:val="Heading4"/>
              <w:widowControl/>
              <w:suppressAutoHyphens w:val="true"/>
              <w:spacing w:before="100" w:after="0"/>
              <w:ind w:hanging="0" w:left="0"/>
              <w:jc w:val="center"/>
              <w:rPr>
                <w:szCs w:val="16"/>
              </w:rPr>
            </w:pPr>
            <w:r>
              <w:rPr>
                <w:szCs w:val="16"/>
              </w:rPr>
            </w:r>
          </w:p>
        </w:tc>
        <w:tc>
          <w:tcPr>
            <w:tcW w:w="1162" w:type="dxa"/>
            <w:tcBorders/>
          </w:tcPr>
          <w:p>
            <w:pPr>
              <w:pStyle w:val="Heading4"/>
              <w:widowControl/>
              <w:suppressAutoHyphens w:val="true"/>
              <w:spacing w:before="100" w:after="120"/>
              <w:ind w:hanging="0" w:left="0"/>
              <w:jc w:val="center"/>
              <w:rPr>
                <w:kern w:val="0"/>
                <w:lang w:val="pl-PL" w:eastAsia="en-US" w:bidi="ar-SA"/>
              </w:rPr>
            </w:pPr>
            <w:r>
              <w:rPr>
                <w:kern w:val="0"/>
                <w:lang w:val="pl-PL" w:eastAsia="en-US" w:bidi="ar-SA"/>
              </w:rPr>
              <w:t>7.3.5. Maksymalny udział powierzchni   zabudowy [%]</w:t>
            </w:r>
          </w:p>
        </w:tc>
        <w:tc>
          <w:tcPr>
            <w:tcW w:w="1276" w:type="dxa"/>
            <w:tcBorders/>
          </w:tcPr>
          <w:p>
            <w:pPr>
              <w:pStyle w:val="Heading4"/>
              <w:widowControl/>
              <w:suppressAutoHyphens w:val="true"/>
              <w:spacing w:before="100" w:after="120"/>
              <w:ind w:hanging="0" w:left="0"/>
              <w:jc w:val="center"/>
              <w:rPr>
                <w:kern w:val="0"/>
                <w:lang w:val="pl-PL" w:eastAsia="en-US" w:bidi="ar-SA"/>
              </w:rPr>
            </w:pPr>
            <w:r>
              <w:rPr>
                <w:kern w:val="0"/>
                <w:lang w:val="pl-PL" w:eastAsia="en-US" w:bidi="ar-SA"/>
              </w:rPr>
              <w:t>7.3.6. Maksymalna wysokość zabudowy [m]</w:t>
            </w:r>
          </w:p>
        </w:tc>
        <w:tc>
          <w:tcPr>
            <w:tcW w:w="1262" w:type="dxa"/>
            <w:tcBorders/>
          </w:tcPr>
          <w:p>
            <w:pPr>
              <w:pStyle w:val="Heading4"/>
              <w:widowControl/>
              <w:suppressAutoHyphens w:val="true"/>
              <w:spacing w:before="100" w:after="120"/>
              <w:ind w:hanging="0" w:left="0"/>
              <w:jc w:val="center"/>
              <w:rPr>
                <w:kern w:val="0"/>
                <w:lang w:val="pl-PL" w:eastAsia="en-US" w:bidi="ar-SA"/>
              </w:rPr>
            </w:pPr>
            <w:r>
              <w:rPr>
                <w:kern w:val="0"/>
                <w:lang w:val="pl-PL" w:eastAsia="en-US" w:bidi="ar-SA"/>
              </w:rPr>
              <w:t>7.3.7.</w:t>
            </w:r>
            <w:r>
              <w:rPr>
                <w:color w:val="FF0000"/>
                <w:kern w:val="0"/>
                <w:lang w:val="pl-PL" w:eastAsia="en-US" w:bidi="ar-SA"/>
              </w:rPr>
              <w:t xml:space="preserve"> </w:t>
            </w:r>
            <w:r>
              <w:rPr>
                <w:kern w:val="0"/>
                <w:lang w:val="pl-PL" w:eastAsia="en-US" w:bidi="ar-SA"/>
              </w:rPr>
              <w:t>Minimalny udział powierzchni biologicznie czynnej [%]</w:t>
            </w:r>
          </w:p>
        </w:tc>
      </w:tr>
      <w:tr>
        <w:trPr/>
        <w:tc>
          <w:tcPr>
            <w:tcW w:w="451" w:type="dxa"/>
            <w:tcBorders/>
            <w:vAlign w:val="center"/>
          </w:tcPr>
          <w:p>
            <w:pPr>
              <w:pStyle w:val="Normal"/>
              <w:numPr>
                <w:ilvl w:val="0"/>
                <w:numId w:val="0"/>
              </w:numPr>
              <w:suppressAutoHyphens w:val="true"/>
              <w:spacing w:before="0" w:after="0"/>
              <w:ind w:hanging="505" w:left="505"/>
              <w:jc w:val="left"/>
              <w:outlineLvl w:val="3"/>
              <w:rPr>
                <w:sz w:val="16"/>
                <w:szCs w:val="16"/>
              </w:rPr>
            </w:pPr>
            <w:r>
              <w:rPr>
                <w:kern w:val="0"/>
                <w:sz w:val="16"/>
                <w:szCs w:val="16"/>
                <w:lang w:val="pl-PL" w:bidi="ar-SA"/>
              </w:rPr>
              <w:t>1</w:t>
            </w:r>
          </w:p>
        </w:tc>
        <w:tc>
          <w:tcPr>
            <w:tcW w:w="1562" w:type="dxa"/>
            <w:tcBorders/>
          </w:tcPr>
          <w:p>
            <w:pPr>
              <w:pStyle w:val="Normal"/>
              <w:suppressAutoHyphens w:val="true"/>
              <w:spacing w:before="0" w:after="0"/>
              <w:jc w:val="left"/>
              <w:rPr>
                <w:kern w:val="0"/>
                <w:szCs w:val="22"/>
                <w:lang w:val="pl-PL" w:bidi="ar-SA"/>
              </w:rPr>
            </w:pPr>
            <w:r>
              <w:rPr>
                <w:kern w:val="0"/>
                <w:szCs w:val="22"/>
                <w:lang w:val="pl-PL" w:bidi="ar-SA"/>
              </w:rPr>
              <w:t>Projekt Planu Ogólnego Gminy Dopiewo (strefa 116SU)</w:t>
            </w:r>
          </w:p>
        </w:tc>
        <w:tc>
          <w:tcPr>
            <w:tcW w:w="1421" w:type="dxa"/>
            <w:tcBorders/>
          </w:tcPr>
          <w:p>
            <w:pPr>
              <w:pStyle w:val="Normal"/>
              <w:suppressAutoHyphens w:val="true"/>
              <w:spacing w:before="0" w:after="0"/>
              <w:jc w:val="center"/>
              <w:rPr>
                <w:rFonts w:ascii="MS Gothic" w:hAnsi="MS Gothic" w:eastAsia="MS Gothic"/>
                <w:sz w:val="14"/>
                <w:szCs w:val="14"/>
              </w:rPr>
            </w:pPr>
            <w:r>
              <w:rPr>
                <w:kern w:val="0"/>
                <w:szCs w:val="22"/>
                <w:lang w:val="pl-PL" w:bidi="ar-SA"/>
              </w:rPr>
              <w:t>339, 340, 341/1, 341/2, 338/1,</w:t>
            </w:r>
          </w:p>
          <w:p>
            <w:pPr>
              <w:pStyle w:val="Normal"/>
              <w:suppressAutoHyphens w:val="true"/>
              <w:spacing w:before="0" w:after="0"/>
              <w:jc w:val="center"/>
              <w:rPr>
                <w:rFonts w:ascii="MS Gothic" w:hAnsi="MS Gothic" w:eastAsia="MS Gothic"/>
                <w:sz w:val="14"/>
                <w:szCs w:val="14"/>
              </w:rPr>
            </w:pPr>
            <w:r>
              <w:rPr>
                <w:kern w:val="0"/>
                <w:szCs w:val="22"/>
                <w:lang w:val="pl-PL" w:bidi="ar-SA"/>
              </w:rPr>
              <w:t>338/2, 338/3, 338/4,</w:t>
            </w:r>
          </w:p>
          <w:p>
            <w:pPr>
              <w:pStyle w:val="Normal"/>
              <w:suppressAutoHyphens w:val="true"/>
              <w:spacing w:before="0" w:after="0"/>
              <w:jc w:val="center"/>
              <w:rPr>
                <w:rFonts w:ascii="MS Gothic" w:hAnsi="MS Gothic" w:eastAsia="MS Gothic"/>
                <w:sz w:val="14"/>
                <w:szCs w:val="14"/>
              </w:rPr>
            </w:pPr>
            <w:r>
              <w:rPr>
                <w:kern w:val="0"/>
                <w:szCs w:val="22"/>
                <w:lang w:val="pl-PL" w:bidi="ar-SA"/>
              </w:rPr>
              <w:t>338/5, 338/6, 338/7</w:t>
            </w:r>
          </w:p>
          <w:p>
            <w:pPr>
              <w:pStyle w:val="Normal"/>
              <w:suppressAutoHyphens w:val="true"/>
              <w:spacing w:before="0" w:after="0"/>
              <w:jc w:val="center"/>
              <w:rPr>
                <w:rFonts w:ascii="MS Gothic" w:hAnsi="MS Gothic" w:eastAsia="MS Gothic"/>
                <w:sz w:val="14"/>
                <w:szCs w:val="14"/>
              </w:rPr>
            </w:pPr>
            <w:r>
              <w:rPr>
                <w:kern w:val="0"/>
                <w:szCs w:val="22"/>
                <w:lang w:val="pl-PL" w:bidi="ar-SA"/>
              </w:rPr>
              <w:t>(Obręb Dąbrowa)</w:t>
            </w:r>
          </w:p>
        </w:tc>
        <w:tc>
          <w:tcPr>
            <w:tcW w:w="1273" w:type="dxa"/>
            <w:tcBorders/>
          </w:tcPr>
          <w:p>
            <w:pPr>
              <w:pStyle w:val="Normal"/>
              <w:suppressAutoHyphens w:val="true"/>
              <w:spacing w:before="50" w:after="50"/>
              <w:jc w:val="center"/>
              <w:rPr>
                <w:lang w:eastAsia="en-US"/>
              </w:rPr>
            </w:pPr>
            <w:sdt>
              <w:sdtPr>
                <w:id w:val="978344494"/>
                <w14:checkbox>
                  <w14:checked w14:val="1"/>
                  <w14:checkedState w14:val="2612"/>
                  <w14:uncheckedState w14:val="2610"/>
                </w14:checkbox>
              </w:sdtPr>
              <w:sdtContent>
                <w:r>
                  <w:rPr>
                    <w:rFonts w:eastAsia="MS Gothic" w:ascii="MS Gothic" w:hAnsi="MS Gothic"/>
                    <w:kern w:val="0"/>
                    <w:szCs w:val="22"/>
                    <w:lang w:val="pl-PL" w:eastAsia="en-US" w:bidi="ar-SA"/>
                  </w:rPr>
                </w:r>
                <w:r>
                  <w:rPr>
                    <w:rFonts w:eastAsia="MS Gothic" w:ascii="MS Gothic" w:hAnsi="MS Gothic"/>
                    <w:kern w:val="0"/>
                    <w:szCs w:val="22"/>
                    <w:lang w:val="pl-PL" w:eastAsia="en-US" w:bidi="ar-SA"/>
                  </w:rPr>
                  <w:t>☒</w:t>
                </w:r>
              </w:sdtContent>
            </w:sdt>
            <w:r>
              <w:rPr>
                <w:kern w:val="0"/>
                <w:szCs w:val="22"/>
                <w:lang w:val="pl-PL" w:eastAsia="en-US" w:bidi="ar-SA"/>
              </w:rPr>
              <w:t xml:space="preserve"> </w:t>
            </w:r>
            <w:r>
              <w:rPr>
                <w:kern w:val="0"/>
                <w:sz w:val="16"/>
                <w:szCs w:val="16"/>
                <w:lang w:val="pl-PL" w:eastAsia="en-US" w:bidi="ar-SA"/>
              </w:rPr>
              <w:t>tak</w:t>
            </w:r>
          </w:p>
          <w:p>
            <w:pPr>
              <w:pStyle w:val="Normal"/>
              <w:suppressAutoHyphens w:val="true"/>
              <w:spacing w:before="50" w:after="50"/>
              <w:jc w:val="center"/>
              <w:rPr>
                <w:rFonts w:ascii="MS Gothic" w:hAnsi="MS Gothic" w:eastAsia="MS Gothic"/>
                <w:sz w:val="14"/>
                <w:szCs w:val="14"/>
              </w:rPr>
            </w:pPr>
            <w:sdt>
              <w:sdtPr>
                <w:id w:val="-206411786"/>
                <w14:checkbox>
                  <w14:checked w14:val="0"/>
                  <w14:checkedState w14:val="2612"/>
                  <w14:uncheckedState w14:val="2610"/>
                </w14:checkbox>
              </w:sdtPr>
              <w:sdtContent>
                <w:r>
                  <w:rPr>
                    <w:rFonts w:eastAsia="MS Gothic" w:ascii="MS Gothic" w:hAnsi="MS Gothic"/>
                    <w:kern w:val="0"/>
                    <w:szCs w:val="22"/>
                    <w:lang w:val="pl-PL" w:eastAsia="en-US" w:bidi="ar-SA"/>
                  </w:rPr>
                </w:r>
                <w:r>
                  <w:rPr>
                    <w:rFonts w:eastAsia="MS Gothic" w:ascii="MS Gothic" w:hAnsi="MS Gothic"/>
                    <w:kern w:val="0"/>
                    <w:szCs w:val="22"/>
                    <w:lang w:val="pl-PL" w:eastAsia="en-US" w:bidi="ar-SA"/>
                  </w:rPr>
                  <w:t>☐</w:t>
                </w:r>
              </w:sdtContent>
            </w:sdt>
            <w:r>
              <w:rPr>
                <w:kern w:val="0"/>
                <w:szCs w:val="22"/>
                <w:lang w:val="pl-PL" w:eastAsia="en-US" w:bidi="ar-SA"/>
              </w:rPr>
              <w:t xml:space="preserve"> </w:t>
            </w:r>
            <w:r>
              <w:rPr>
                <w:kern w:val="0"/>
                <w:sz w:val="16"/>
                <w:szCs w:val="16"/>
                <w:lang w:val="pl-PL" w:eastAsia="en-US" w:bidi="ar-SA"/>
              </w:rPr>
              <w:t>nie</w:t>
            </w:r>
          </w:p>
        </w:tc>
        <w:tc>
          <w:tcPr>
            <w:tcW w:w="1536" w:type="dxa"/>
            <w:tcBorders/>
          </w:tcPr>
          <w:p>
            <w:pPr>
              <w:pStyle w:val="Normal"/>
              <w:suppressAutoHyphens w:val="true"/>
              <w:spacing w:before="50" w:after="50"/>
              <w:jc w:val="center"/>
              <w:rPr>
                <w:rFonts w:ascii="MS Gothic" w:hAnsi="MS Gothic" w:eastAsia="MS Gothic"/>
                <w:sz w:val="14"/>
                <w:szCs w:val="14"/>
              </w:rPr>
            </w:pPr>
            <w:r>
              <w:rPr>
                <w:kern w:val="0"/>
                <w:szCs w:val="22"/>
                <w:lang w:val="pl-PL" w:bidi="ar-SA"/>
              </w:rPr>
              <w:t>Strefa wielofunkcyjna z zabudową mieszkaniową jednorodzinną (SJ)</w:t>
            </w:r>
          </w:p>
        </w:tc>
        <w:tc>
          <w:tcPr>
            <w:tcW w:w="1162" w:type="dxa"/>
            <w:tcBorders/>
          </w:tcPr>
          <w:p>
            <w:pPr>
              <w:pStyle w:val="Normal"/>
              <w:suppressAutoHyphens w:val="true"/>
              <w:spacing w:before="50" w:after="50"/>
              <w:jc w:val="center"/>
              <w:rPr>
                <w:rFonts w:ascii="MS Gothic" w:hAnsi="MS Gothic" w:eastAsia="MS Gothic"/>
                <w:sz w:val="14"/>
                <w:szCs w:val="14"/>
              </w:rPr>
            </w:pPr>
            <w:r>
              <w:rPr>
                <w:kern w:val="0"/>
                <w:szCs w:val="22"/>
                <w:lang w:val="pl-PL" w:bidi="ar-SA"/>
              </w:rPr>
              <w:t>30%</w:t>
            </w:r>
          </w:p>
        </w:tc>
        <w:tc>
          <w:tcPr>
            <w:tcW w:w="1276" w:type="dxa"/>
            <w:tcBorders/>
          </w:tcPr>
          <w:p>
            <w:pPr>
              <w:pStyle w:val="Normal"/>
              <w:suppressAutoHyphens w:val="true"/>
              <w:spacing w:before="50" w:after="50"/>
              <w:jc w:val="center"/>
              <w:rPr>
                <w:rFonts w:ascii="MS Gothic" w:hAnsi="MS Gothic" w:eastAsia="MS Gothic"/>
                <w:sz w:val="14"/>
                <w:szCs w:val="14"/>
              </w:rPr>
            </w:pPr>
            <w:r>
              <w:rPr>
                <w:kern w:val="0"/>
                <w:szCs w:val="22"/>
                <w:lang w:val="pl-PL" w:bidi="ar-SA"/>
              </w:rPr>
              <w:t>9m</w:t>
            </w:r>
          </w:p>
        </w:tc>
        <w:tc>
          <w:tcPr>
            <w:tcW w:w="1262" w:type="dxa"/>
            <w:tcBorders/>
          </w:tcPr>
          <w:p>
            <w:pPr>
              <w:pStyle w:val="Normal"/>
              <w:suppressAutoHyphens w:val="true"/>
              <w:spacing w:before="50" w:after="50"/>
              <w:jc w:val="center"/>
              <w:rPr>
                <w:rFonts w:ascii="MS Gothic" w:hAnsi="MS Gothic" w:eastAsia="MS Gothic"/>
                <w:sz w:val="14"/>
                <w:szCs w:val="14"/>
              </w:rPr>
            </w:pPr>
            <w:r>
              <w:rPr>
                <w:kern w:val="0"/>
                <w:szCs w:val="22"/>
                <w:lang w:val="pl-PL" w:bidi="ar-SA"/>
              </w:rPr>
              <w:t>55%</w:t>
            </w:r>
          </w:p>
        </w:tc>
      </w:tr>
    </w:tbl>
    <w:p>
      <w:pPr>
        <w:pStyle w:val="Normal"/>
        <w:spacing w:before="120" w:after="60"/>
        <w:rPr/>
      </w:pPr>
      <w:r>
        <w:rPr/>
      </w:r>
      <w:bookmarkStart w:id="19" w:name="_Hlk39498299"/>
      <w:bookmarkStart w:id="20" w:name="_Hlk39479541_Copy_1"/>
      <w:bookmarkStart w:id="21" w:name="_Hlk39584249_Copy_1"/>
      <w:bookmarkStart w:id="22" w:name="_Hlk39498299"/>
      <w:bookmarkStart w:id="23" w:name="_Hlk39479541_Copy_1"/>
      <w:bookmarkStart w:id="24" w:name="_Hlk39584249_Copy_1"/>
      <w:bookmarkEnd w:id="22"/>
      <w:bookmarkEnd w:id="23"/>
      <w:bookmarkEnd w:id="24"/>
    </w:p>
    <w:p>
      <w:pPr>
        <w:pStyle w:val="Heading2"/>
        <w:ind w:firstLine="108" w:left="0"/>
        <w:rPr/>
      </w:pPr>
      <w:r>
        <w:rPr/>
        <w:t>8. OŚWIADCZENIE W SPRAWIE KORESPONDENCJI ELEKTRONICZNEJ</w:t>
      </w:r>
    </w:p>
    <w:tbl>
      <w:tblPr>
        <w:tblStyle w:val="Tabela-Siatka"/>
        <w:tblW w:w="5103"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25"/>
        <w:gridCol w:w="2268"/>
        <w:gridCol w:w="425"/>
        <w:gridCol w:w="1984"/>
      </w:tblGrid>
      <w:tr>
        <w:trPr/>
        <w:tc>
          <w:tcPr>
            <w:tcW w:w="425" w:type="dxa"/>
            <w:tcBorders>
              <w:top w:val="nil"/>
              <w:left w:val="nil"/>
              <w:bottom w:val="nil"/>
              <w:right w:val="nil"/>
            </w:tcBorders>
          </w:tcPr>
          <w:sdt>
            <w:sdtPr>
              <w14:checkbox>
                <w14:checked w:val=""/>
                <w14:checkedState w:val=""/>
                <w14:uncheckedState w:val=""/>
              </w14:checkbox>
              <w:id w:val="1689867656"/>
            </w:sdtPr>
            <w:sdtContent>
              <w:p>
                <w:pPr>
                  <w:pStyle w:val="Normal"/>
                  <w:suppressAutoHyphens w:val="true"/>
                  <w:spacing w:before="50" w:after="50"/>
                  <w:jc w:val="left"/>
                  <w:rPr>
                    <w:lang w:eastAsia="en-US"/>
                  </w:rPr>
                </w:pPr>
                <w:r>
                  <w:rPr>
                    <w:rFonts w:eastAsia="MS Gothic" w:ascii="MS Gothic" w:hAnsi="MS Gothic"/>
                    <w:kern w:val="0"/>
                    <w:szCs w:val="22"/>
                    <w:lang w:val="pl-PL" w:eastAsia="en-US" w:bidi="ar-SA"/>
                  </w:rPr>
                  <w:t>☒</w:t>
                </w:r>
              </w:p>
            </w:sdtContent>
          </w:sdt>
        </w:tc>
        <w:tc>
          <w:tcPr>
            <w:tcW w:w="2268" w:type="dxa"/>
            <w:tcBorders>
              <w:top w:val="nil"/>
              <w:left w:val="nil"/>
              <w:bottom w:val="nil"/>
              <w:right w:val="nil"/>
            </w:tcBorders>
          </w:tcPr>
          <w:p>
            <w:pPr>
              <w:pStyle w:val="Normal"/>
              <w:suppressAutoHyphens w:val="true"/>
              <w:spacing w:before="50" w:after="50"/>
              <w:jc w:val="left"/>
              <w:rPr>
                <w:lang w:eastAsia="en-US"/>
              </w:rPr>
            </w:pPr>
            <w:r>
              <w:rPr>
                <w:kern w:val="0"/>
                <w:szCs w:val="22"/>
                <w:lang w:val="pl-PL" w:bidi="ar-SA"/>
              </w:rPr>
              <w:t>Wyrażam zgodę</w:t>
            </w:r>
          </w:p>
        </w:tc>
        <w:tc>
          <w:tcPr>
            <w:tcW w:w="425" w:type="dxa"/>
            <w:tcBorders>
              <w:top w:val="nil"/>
              <w:left w:val="nil"/>
              <w:bottom w:val="nil"/>
              <w:right w:val="nil"/>
            </w:tcBorders>
          </w:tcPr>
          <w:sdt>
            <w:sdtPr>
              <w14:checkbox>
                <w14:checked w:val=""/>
                <w14:checkedState w:val=""/>
                <w14:uncheckedState w:val=""/>
              </w14:checkbox>
              <w:id w:val="-345408251"/>
            </w:sdtPr>
            <w:sdtContent>
              <w:p>
                <w:pPr>
                  <w:pStyle w:val="Normal"/>
                  <w:suppressAutoHyphens w:val="true"/>
                  <w:spacing w:before="50" w:after="50"/>
                  <w:jc w:val="left"/>
                  <w:rPr>
                    <w:lang w:eastAsia="en-US"/>
                  </w:rPr>
                </w:pPr>
                <w:r>
                  <w:rPr>
                    <w:rFonts w:eastAsia="MS Gothic" w:cs="MS Gothic" w:ascii="MS Gothic" w:hAnsi="MS Gothic"/>
                    <w:kern w:val="0"/>
                    <w:szCs w:val="22"/>
                    <w:lang w:val="pl-PL" w:eastAsia="en-US" w:bidi="ar-SA"/>
                  </w:rPr>
                  <w:t>☐</w:t>
                </w:r>
              </w:p>
            </w:sdtContent>
          </w:sdt>
        </w:tc>
        <w:tc>
          <w:tcPr>
            <w:tcW w:w="1984" w:type="dxa"/>
            <w:tcBorders>
              <w:top w:val="nil"/>
              <w:left w:val="nil"/>
              <w:bottom w:val="nil"/>
              <w:right w:val="nil"/>
            </w:tcBorders>
          </w:tcPr>
          <w:p>
            <w:pPr>
              <w:pStyle w:val="Normal"/>
              <w:suppressAutoHyphens w:val="true"/>
              <w:spacing w:before="50" w:after="50"/>
              <w:jc w:val="left"/>
              <w:rPr>
                <w:lang w:eastAsia="en-US"/>
              </w:rPr>
            </w:pPr>
            <w:r>
              <w:rPr>
                <w:kern w:val="0"/>
                <w:szCs w:val="22"/>
                <w:lang w:val="pl-PL" w:bidi="ar-SA"/>
              </w:rPr>
              <w:t>Nie wyrażam zgody</w:t>
            </w:r>
          </w:p>
        </w:tc>
      </w:tr>
    </w:tbl>
    <w:p>
      <w:pPr>
        <w:pStyle w:val="Normal"/>
        <w:jc w:val="both"/>
        <w:rPr/>
      </w:pPr>
      <w:r>
        <w:rPr/>
        <w:t>na doręczanie korespondencji w niniejszej sprawie za pomocą środków komunikacji elektronicznej w rozumieniu art. 2 pkt 5 ustawy z dnia 18 lipca 2002 r. o świadczeniu usług drogą elektroniczną (Dz. U. z 2020 r. poz. 344).</w:t>
      </w:r>
    </w:p>
    <w:p>
      <w:pPr>
        <w:pStyle w:val="Heading2"/>
        <w:ind w:firstLine="108" w:left="0"/>
        <w:rPr/>
      </w:pPr>
      <w:r>
        <w:rPr/>
        <w:t>9. ZAŁĄCZNIKI</w:t>
      </w:r>
    </w:p>
    <w:tbl>
      <w:tblPr>
        <w:tblStyle w:val="Tabela-Siatka"/>
        <w:tblW w:w="963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15"/>
        <w:gridCol w:w="9222"/>
      </w:tblGrid>
      <w:tr>
        <w:trPr/>
        <w:tc>
          <w:tcPr>
            <w:tcW w:w="415" w:type="dxa"/>
            <w:tcBorders>
              <w:top w:val="nil"/>
              <w:left w:val="nil"/>
              <w:bottom w:val="nil"/>
              <w:right w:val="nil"/>
            </w:tcBorders>
          </w:tcPr>
          <w:p>
            <w:pPr>
              <w:pStyle w:val="Normal"/>
              <w:suppressAutoHyphens w:val="true"/>
              <w:spacing w:before="50" w:after="50"/>
              <w:jc w:val="left"/>
              <w:rPr>
                <w:sz w:val="16"/>
                <w:szCs w:val="16"/>
              </w:rPr>
            </w:pPr>
            <w:sdt>
              <w:sdtPr>
                <w:id w:val="397104863"/>
                <w14:checkbox>
                  <w14:checked w14:val="0"/>
                  <w14:checkedState w14:val="2612"/>
                  <w14:uncheckedState w14:val="2610"/>
                </w14:checkbox>
              </w:sdtPr>
              <w:sdtContent>
                <w:r>
                  <w:rPr>
                    <w:rFonts w:eastAsia="MS Gothic" w:cs="MS Gothic" w:ascii="MS Gothic" w:hAnsi="MS Gothic"/>
                    <w:kern w:val="0"/>
                    <w:sz w:val="16"/>
                    <w:szCs w:val="16"/>
                    <w:lang w:val="pl-PL" w:bidi="ar-SA"/>
                  </w:rPr>
                </w:r>
                <w:r>
                  <w:rPr>
                    <w:rFonts w:eastAsia="MS Gothic" w:cs="MS Gothic" w:ascii="MS Gothic" w:hAnsi="MS Gothic"/>
                    <w:kern w:val="0"/>
                    <w:sz w:val="16"/>
                    <w:szCs w:val="16"/>
                    <w:lang w:val="pl-PL" w:bidi="ar-SA"/>
                  </w:rPr>
                  <w:t>☐</w:t>
                </w:r>
              </w:sdtContent>
            </w:sdt>
          </w:p>
        </w:tc>
        <w:tc>
          <w:tcPr>
            <w:tcW w:w="9222" w:type="dxa"/>
            <w:tcBorders>
              <w:top w:val="nil"/>
              <w:left w:val="nil"/>
              <w:bottom w:val="nil"/>
              <w:right w:val="nil"/>
            </w:tcBorders>
          </w:tcPr>
          <w:p>
            <w:pPr>
              <w:pStyle w:val="Normal"/>
              <w:suppressAutoHyphens w:val="true"/>
              <w:spacing w:before="50" w:after="50"/>
              <w:jc w:val="both"/>
              <w:rPr>
                <w:sz w:val="16"/>
                <w:szCs w:val="16"/>
              </w:rPr>
            </w:pPr>
            <w:r>
              <w:rPr>
                <w:kern w:val="0"/>
                <w:sz w:val="16"/>
                <w:szCs w:val="16"/>
                <w:lang w:val="pl-PL" w:bidi="ar-SA"/>
              </w:rPr>
              <w:t>Pełnomocnictwo do reprezentowania składającego pismo lub pełnomocnictwo do doręczeń (zgodnie z ustawą z dnia 16 listopada 2006 r. o opłacie skarbowej (Dz. U. z 2023 r. poz. 2111)) – jeżeli składający pismo działa przez pełnomocnika.</w:t>
            </w:r>
          </w:p>
        </w:tc>
      </w:tr>
      <w:tr>
        <w:trPr/>
        <w:tc>
          <w:tcPr>
            <w:tcW w:w="415" w:type="dxa"/>
            <w:tcBorders>
              <w:top w:val="nil"/>
              <w:left w:val="nil"/>
              <w:bottom w:val="nil"/>
              <w:right w:val="nil"/>
            </w:tcBorders>
          </w:tcPr>
          <w:p>
            <w:pPr>
              <w:pStyle w:val="Normal"/>
              <w:suppressAutoHyphens w:val="true"/>
              <w:spacing w:before="50" w:after="50"/>
              <w:jc w:val="left"/>
              <w:rPr>
                <w:sz w:val="16"/>
                <w:szCs w:val="16"/>
              </w:rPr>
            </w:pPr>
            <w:sdt>
              <w:sdtPr>
                <w:id w:val="-981380866"/>
                <w14:checkbox>
                  <w14:checked w14:val="0"/>
                  <w14:checkedState w14:val="2612"/>
                  <w14:uncheckedState w14:val="2610"/>
                </w14:checkbox>
              </w:sdtPr>
              <w:sdtContent>
                <w:r>
                  <w:rPr>
                    <w:rFonts w:eastAsia="MS Gothic" w:ascii="MS Gothic" w:hAnsi="MS Gothic"/>
                    <w:kern w:val="0"/>
                    <w:sz w:val="16"/>
                    <w:szCs w:val="16"/>
                    <w:lang w:val="pl-PL" w:bidi="ar-SA"/>
                  </w:rPr>
                </w:r>
                <w:r>
                  <w:rPr>
                    <w:rFonts w:eastAsia="MS Gothic" w:ascii="MS Gothic" w:hAnsi="MS Gothic"/>
                    <w:kern w:val="0"/>
                    <w:sz w:val="16"/>
                    <w:szCs w:val="16"/>
                    <w:lang w:val="pl-PL" w:bidi="ar-SA"/>
                  </w:rPr>
                  <w:t>☐</w:t>
                </w:r>
              </w:sdtContent>
            </w:sdt>
          </w:p>
        </w:tc>
        <w:tc>
          <w:tcPr>
            <w:tcW w:w="9222" w:type="dxa"/>
            <w:tcBorders>
              <w:top w:val="nil"/>
              <w:left w:val="nil"/>
              <w:bottom w:val="nil"/>
              <w:right w:val="nil"/>
            </w:tcBorders>
          </w:tcPr>
          <w:p>
            <w:pPr>
              <w:pStyle w:val="Normal"/>
              <w:suppressAutoHyphens w:val="true"/>
              <w:spacing w:before="50" w:after="50"/>
              <w:jc w:val="both"/>
              <w:rPr>
                <w:spacing w:val="-2"/>
                <w:sz w:val="16"/>
                <w:szCs w:val="16"/>
              </w:rPr>
            </w:pPr>
            <w:r>
              <w:rPr>
                <w:spacing w:val="-2"/>
                <w:kern w:val="0"/>
                <w:sz w:val="16"/>
                <w:szCs w:val="16"/>
                <w:lang w:val="pl-PL" w:bidi="ar-SA"/>
              </w:rPr>
              <w:t>Potwierdzenie uiszczenia opłaty skarbowej od pełnomocnictwa – jeżeli obowiązek uiszczenia takiej opłaty wynika z ustawy z dnia 16 listopada 2006 r. o opłacie skarbowej.</w:t>
            </w:r>
          </w:p>
        </w:tc>
      </w:tr>
      <w:tr>
        <w:trPr/>
        <w:tc>
          <w:tcPr>
            <w:tcW w:w="415" w:type="dxa"/>
            <w:tcBorders>
              <w:top w:val="nil"/>
              <w:left w:val="nil"/>
              <w:bottom w:val="nil"/>
              <w:right w:val="nil"/>
            </w:tcBorders>
          </w:tcPr>
          <w:p>
            <w:pPr>
              <w:pStyle w:val="Normal"/>
              <w:suppressAutoHyphens w:val="true"/>
              <w:spacing w:before="50" w:after="50"/>
              <w:jc w:val="left"/>
              <w:rPr>
                <w:kern w:val="0"/>
                <w:szCs w:val="22"/>
                <w:lang w:val="pl-PL" w:bidi="ar-SA"/>
              </w:rPr>
            </w:pPr>
            <w:sdt>
              <w:sdtPr>
                <w:id w:val="-1531023367"/>
                <w14:checkbox>
                  <w14:checked w14:val="0"/>
                  <w14:checkedState w14:val="2612"/>
                  <w14:uncheckedState w14:val="2610"/>
                </w14:checkbox>
              </w:sdtPr>
              <w:sdtContent>
                <w:r>
                  <w:rPr>
                    <w:rFonts w:eastAsia="MS Gothic" w:ascii="MS Gothic" w:hAnsi="MS Gothic"/>
                    <w:kern w:val="0"/>
                    <w:sz w:val="16"/>
                    <w:szCs w:val="16"/>
                    <w:lang w:val="pl-PL" w:bidi="ar-SA"/>
                  </w:rPr>
                </w:r>
                <w:r>
                  <w:rPr>
                    <w:rFonts w:eastAsia="MS Gothic" w:ascii="MS Gothic" w:hAnsi="MS Gothic"/>
                    <w:kern w:val="0"/>
                    <w:sz w:val="16"/>
                    <w:szCs w:val="16"/>
                    <w:lang w:val="pl-PL" w:bidi="ar-SA"/>
                  </w:rPr>
                  <w:t>☐</w:t>
                </w:r>
              </w:sdtContent>
            </w:sdt>
          </w:p>
        </w:tc>
        <w:tc>
          <w:tcPr>
            <w:tcW w:w="9222" w:type="dxa"/>
            <w:tcBorders>
              <w:top w:val="nil"/>
              <w:left w:val="nil"/>
              <w:bottom w:val="nil"/>
              <w:right w:val="nil"/>
            </w:tcBorders>
          </w:tcPr>
          <w:p>
            <w:pPr>
              <w:pStyle w:val="Normal"/>
              <w:suppressAutoHyphens w:val="true"/>
              <w:spacing w:before="50" w:after="50"/>
              <w:jc w:val="both"/>
              <w:rPr>
                <w:sz w:val="16"/>
                <w:szCs w:val="16"/>
              </w:rPr>
            </w:pPr>
            <w:r>
              <w:rPr>
                <w:spacing w:val="-2"/>
                <w:kern w:val="0"/>
                <w:sz w:val="16"/>
                <w:szCs w:val="16"/>
                <w:lang w:val="pl-PL" w:bidi="ar-SA"/>
              </w:rPr>
              <w:t>(Nieobowiązkowo). Określenie granic terenu w formie graficznej w przypadku wskazania terenu objętego pismem jako części działki ewidencyjnej lub działek ewidencyjnych.</w:t>
            </w:r>
          </w:p>
        </w:tc>
      </w:tr>
      <w:tr>
        <w:trPr/>
        <w:tc>
          <w:tcPr>
            <w:tcW w:w="415" w:type="dxa"/>
            <w:tcBorders>
              <w:top w:val="nil"/>
              <w:left w:val="nil"/>
              <w:bottom w:val="nil"/>
              <w:right w:val="nil"/>
            </w:tcBorders>
          </w:tcPr>
          <w:p>
            <w:pPr>
              <w:pStyle w:val="Normal"/>
              <w:suppressAutoHyphens w:val="true"/>
              <w:spacing w:before="50" w:after="50"/>
              <w:jc w:val="left"/>
              <w:rPr>
                <w:sz w:val="16"/>
                <w:szCs w:val="16"/>
              </w:rPr>
            </w:pPr>
            <w:sdt>
              <w:sdtPr>
                <w:id w:val="-142579581"/>
                <w14:checkbox>
                  <w14:checked w14:val="1"/>
                  <w14:checkedState w14:val="2612"/>
                  <w14:uncheckedState w14:val="2610"/>
                </w14:checkbox>
              </w:sdtPr>
              <w:sdtContent>
                <w:r>
                  <w:rPr>
                    <w:rFonts w:eastAsia="MS Gothic" w:ascii="MS Gothic" w:hAnsi="MS Gothic"/>
                    <w:kern w:val="0"/>
                    <w:sz w:val="16"/>
                    <w:szCs w:val="16"/>
                    <w:lang w:val="pl-PL" w:bidi="ar-SA"/>
                  </w:rPr>
                </w:r>
                <w:r>
                  <w:rPr>
                    <w:rFonts w:eastAsia="MS Gothic" w:ascii="MS Gothic" w:hAnsi="MS Gothic"/>
                    <w:kern w:val="0"/>
                    <w:sz w:val="16"/>
                    <w:szCs w:val="16"/>
                    <w:lang w:val="pl-PL" w:bidi="ar-SA"/>
                  </w:rPr>
                  <w:t>☒</w:t>
                </w:r>
              </w:sdtContent>
            </w:sdt>
          </w:p>
        </w:tc>
        <w:tc>
          <w:tcPr>
            <w:tcW w:w="9222" w:type="dxa"/>
            <w:tcBorders>
              <w:top w:val="nil"/>
              <w:left w:val="nil"/>
              <w:bottom w:val="nil"/>
              <w:right w:val="nil"/>
            </w:tcBorders>
          </w:tcPr>
          <w:p>
            <w:pPr>
              <w:pStyle w:val="Normal"/>
              <w:suppressAutoHyphens w:val="true"/>
              <w:spacing w:before="50" w:after="50"/>
              <w:jc w:val="both"/>
              <w:rPr>
                <w:spacing w:val="-2"/>
                <w:sz w:val="16"/>
                <w:szCs w:val="16"/>
              </w:rPr>
            </w:pPr>
            <w:r>
              <w:rPr>
                <w:spacing w:val="-2"/>
                <w:kern w:val="0"/>
                <w:sz w:val="16"/>
                <w:szCs w:val="16"/>
                <w:lang w:val="pl-PL" w:bidi="ar-SA"/>
              </w:rPr>
              <w:t>(Nieobowiązkowo). Inne załączniki – w przypadku zaznaczenia pola należy podać nazwy załączników.</w:t>
            </w:r>
            <w:r>
              <w:rPr>
                <w:rStyle w:val="EndnoteReference"/>
                <w:kern w:val="0"/>
                <w:sz w:val="16"/>
                <w:szCs w:val="18"/>
                <w:lang w:val="pl-PL" w:bidi="ar-SA"/>
              </w:rPr>
              <w:endnoteReference w:id="10"/>
            </w:r>
            <w:r>
              <w:rPr>
                <w:rStyle w:val="EndnoteCharacters"/>
                <w:kern w:val="0"/>
                <w:szCs w:val="18"/>
                <w:lang w:val="pl-PL" w:bidi="ar-SA"/>
              </w:rPr>
              <w:t>)</w:t>
            </w:r>
          </w:p>
          <w:p>
            <w:pPr>
              <w:pStyle w:val="Normal"/>
              <w:suppressAutoHyphens w:val="true"/>
              <w:spacing w:before="50" w:after="50"/>
              <w:jc w:val="both"/>
              <w:rPr>
                <w:spacing w:val="-2"/>
                <w:sz w:val="16"/>
                <w:szCs w:val="16"/>
              </w:rPr>
            </w:pPr>
            <w:r>
              <w:rPr>
                <w:spacing w:val="-2"/>
                <w:kern w:val="0"/>
                <w:sz w:val="16"/>
                <w:szCs w:val="22"/>
                <w:lang w:val="pl-PL" w:bidi="ar-SA"/>
              </w:rPr>
              <w:t>1. Załącznik nr 1 – uzasadnienie uwagi</w:t>
            </w:r>
          </w:p>
        </w:tc>
      </w:tr>
    </w:tbl>
    <w:p>
      <w:pPr>
        <w:pStyle w:val="Heading2"/>
        <w:ind w:firstLine="108" w:left="0"/>
        <w:rPr/>
      </w:pPr>
      <w:r>
        <w:rPr/>
        <w:t>10. PODPIS SKŁADAJĄCEGO PISMO (PEŁNOMOCNIKA) I DATA PODPISU</w:t>
      </w:r>
    </w:p>
    <w:p>
      <w:pPr>
        <w:pStyle w:val="Normal"/>
        <w:rPr/>
      </w:pPr>
      <w:r>
        <w:rPr>
          <w:sz w:val="16"/>
          <w:szCs w:val="16"/>
        </w:rPr>
        <w:t>Podpis powinien być czytelny. Podpis i datę podpisu umieszcza się w przypadku składania pisma w postaci papierowej.</w:t>
      </w:r>
    </w:p>
    <w:p>
      <w:pPr>
        <w:pStyle w:val="Normal"/>
        <w:spacing w:before="240" w:after="50"/>
        <w:jc w:val="both"/>
        <w:rPr>
          <w:rFonts w:eastAsia="Calibri"/>
          <w:iCs w:val="false"/>
          <w:szCs w:val="24"/>
          <w:lang w:eastAsia="en-US"/>
        </w:rPr>
      </w:pPr>
      <w:r>
        <w:rPr/>
        <w:t>Podpis: …………………………………………………………………          Data: ……………………………</w:t>
      </w:r>
      <w:r>
        <w:rPr>
          <w:sz w:val="2"/>
          <w:szCs w:val="2"/>
        </w:rPr>
        <w:t>D</w:t>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p>
    <w:p>
      <w:pPr>
        <w:pStyle w:val="Normal"/>
        <w:spacing w:before="240" w:after="50"/>
        <w:jc w:val="both"/>
        <w:rPr>
          <w:rFonts w:eastAsia="Calibri"/>
          <w:iCs w:val="false"/>
          <w:szCs w:val="24"/>
          <w:lang w:eastAsia="en-US"/>
        </w:rPr>
      </w:pPr>
      <w:r>
        <w:rPr>
          <w:rFonts w:eastAsia="Calibri"/>
          <w:iCs w:val="false"/>
          <w:szCs w:val="24"/>
          <w:lang w:eastAsia="en-US"/>
        </w:rPr>
      </w:r>
      <w:r>
        <w:br w:type="page"/>
      </w:r>
    </w:p>
    <w:p>
      <w:pPr>
        <w:pStyle w:val="Normal"/>
        <w:spacing w:before="0" w:after="60"/>
        <w:jc w:val="center"/>
        <w:rPr>
          <w:b/>
          <w:bCs/>
          <w:sz w:val="24"/>
          <w:szCs w:val="24"/>
        </w:rPr>
      </w:pPr>
      <w:r>
        <w:rPr>
          <w:b/>
          <w:bCs/>
          <w:sz w:val="24"/>
          <w:szCs w:val="24"/>
        </w:rPr>
        <w:t>ZAŁĄCZNIK NR 1</w:t>
      </w:r>
    </w:p>
    <w:p>
      <w:pPr>
        <w:pStyle w:val="Normal"/>
        <w:spacing w:before="0" w:after="120"/>
        <w:jc w:val="center"/>
        <w:rPr>
          <w:b/>
          <w:bCs/>
        </w:rPr>
      </w:pPr>
      <w:r>
        <w:rPr>
          <w:b/>
          <w:bCs/>
        </w:rPr>
        <w:t>Uzasadnienie uwagi do projektu Planu Ogólnego Gminy Dopiewo</w:t>
      </w:r>
    </w:p>
    <w:p>
      <w:pPr>
        <w:pStyle w:val="Normal"/>
        <w:spacing w:before="0" w:after="40"/>
        <w:jc w:val="both"/>
        <w:rPr/>
      </w:pPr>
      <w:r>
        <w:rPr/>
        <w:t>Dotyczy: strefy planistycznej 116SU (strefa usługowa) o powierzchni ok. 8,32 ha, obejmującej działki nr 338/1, 338/2, 338/3, 338/4, 338/5, 338/6, 338/7, 339, 340, 341/1 i 341/2 w obrębie ewidencyjnym Dąbrowa (0003), gmina Dopiewo.</w:t>
      </w:r>
    </w:p>
    <w:p>
      <w:pPr>
        <w:pStyle w:val="Normal"/>
        <w:spacing w:before="0" w:after="40"/>
        <w:jc w:val="both"/>
        <w:rPr/>
      </w:pPr>
      <w:r>
        <w:rPr>
          <w:color w:themeColor="text1" w:val="000000"/>
        </w:rPr>
        <w:t>Projekt planu przypisuje strefie 116SU parametry: maksymalna nadziemna intensywność zabudowy 0,8; maksymalny udział powierzchni zabudowy 50%; maksymalna wysokość zabudowy 10 m; minimalny udział powierzchni biologicznie czynnej 30%. Wszystkie dane przytoczone poniżej pochodzą z dokumentów wyłożonych przez Gminę do konsultacji: z danych przestrzennych projektu planu (plik GML) oraz z tekstowej części uzasadnienia projektu planu.</w:t>
      </w:r>
    </w:p>
    <w:p>
      <w:pPr>
        <w:pStyle w:val="Normal"/>
        <w:spacing w:before="0" w:after="40"/>
        <w:jc w:val="both"/>
        <w:rPr>
          <w:color w:themeColor="text1" w:val="000000"/>
        </w:rPr>
      </w:pPr>
      <w:r>
        <w:rPr>
          <w:color w:themeColor="text1" w:val="000000"/>
        </w:rPr>
      </w:r>
    </w:p>
    <w:p>
      <w:pPr>
        <w:pStyle w:val="Normal"/>
        <w:spacing w:before="160" w:after="40"/>
        <w:jc w:val="both"/>
        <w:rPr>
          <w:b/>
          <w:bCs/>
        </w:rPr>
      </w:pPr>
      <w:r>
        <w:rPr>
          <w:b/>
          <w:bCs/>
        </w:rPr>
        <w:t>1. Ustalenie jest sprzeczne z metodyką, którą Gmina sama opisała w uzasadnieniu projektu planu</w:t>
      </w:r>
    </w:p>
    <w:p>
      <w:pPr>
        <w:pStyle w:val="Normal"/>
        <w:spacing w:before="0" w:after="40"/>
        <w:jc w:val="both"/>
        <w:rPr/>
      </w:pPr>
      <w:r>
        <w:rPr/>
        <w:t>W uzasadnieniu projektu planu (rozdział o gruntach rolnych klas I–III, str. 47) Gmina deklaruje wprost: „Na terenach użytków rolnych klas IIIa i IIIb, znajdujących się wśród obszarów zabudowanych wyznaczane były głównie strefy planistyczne umożliwiające realizację funkcji mieszkaniowej. (…) Poza obszarami zabudowanymi tereny użytków rolnych klas IIIa i IIIB obejmowane były przede wszystkim strefą planistyczną SO bez dodatkowych profili funkcjonalnych”.</w:t>
      </w:r>
    </w:p>
    <w:p>
      <w:pPr>
        <w:pStyle w:val="Normal"/>
        <w:spacing w:before="0" w:after="40"/>
        <w:jc w:val="both"/>
        <w:rPr/>
      </w:pPr>
      <w:r>
        <w:rPr>
          <w:color w:themeColor="text1" w:val="000000"/>
        </w:rPr>
        <w:t>Teren 116SU to grunty klas IIIa i IIIb położone wśród obszarów zabudowanych – strefa jest ze wszystkich stron otoczona strefami zabudowy mieszkaniowej jednorodzinnej. Zastosowanie deklarowanej metodyki prowadzi zatem do przypisania temu terenowi strefy umożliwiającej funkcję mieszkaniową, a nie strefy usługowej. Ustalenie 116SU stanowi odstępstwo od zasady, którą Gmina przyjęła dla całej gminy, i którego w uzasadnieniu w żaden sposób nie wyjaśniono.</w:t>
      </w:r>
    </w:p>
    <w:p>
      <w:pPr>
        <w:pStyle w:val="Normal"/>
        <w:spacing w:before="0" w:after="40"/>
        <w:jc w:val="both"/>
        <w:rPr>
          <w:color w:themeColor="text1" w:val="000000"/>
        </w:rPr>
      </w:pPr>
      <w:r>
        <w:rPr>
          <w:color w:themeColor="text1" w:val="000000"/>
        </w:rPr>
      </w:r>
    </w:p>
    <w:p>
      <w:pPr>
        <w:pStyle w:val="Normal"/>
        <w:spacing w:before="160" w:after="40"/>
        <w:jc w:val="both"/>
        <w:rPr>
          <w:b/>
          <w:bCs/>
        </w:rPr>
      </w:pPr>
      <w:r>
        <w:rPr>
          <w:b/>
          <w:bCs/>
        </w:rPr>
        <w:t>2. Ustalenie jest sprzeczne z celami, które Gmina wyznaczyła dla samego planu</w:t>
      </w:r>
    </w:p>
    <w:p>
      <w:pPr>
        <w:pStyle w:val="Normal"/>
        <w:spacing w:before="0" w:after="40"/>
        <w:jc w:val="both"/>
        <w:rPr/>
      </w:pPr>
      <w:r>
        <w:rPr/>
        <w:t>W uzasadnieniu projektu planu (str. 15) wśród priorytetowych działań Gmina wskazuje „koncentrację inwestycji gospodarczych na tereny przeznaczone stricte pod działalność produkcyjną i usługową, co przełoży się na optymalne zagospodarowanie przestrzeni usługowo-produkcyjnej i odseparowanie jej od funkcji konfliktowych (np. mieszkaniowej)”. Na str. 11 Gmina wyjaśnia, że rozłączne wyznaczanie stref ma na celu „ograniczenie wprowadzania konfliktów przestrzennych przejawiających się przemieszaniem niekomplementarnych funkcji”.</w:t>
      </w:r>
    </w:p>
    <w:p>
      <w:pPr>
        <w:pStyle w:val="Normal"/>
        <w:spacing w:before="0" w:after="40"/>
        <w:jc w:val="both"/>
        <w:rPr/>
      </w:pPr>
      <w:r>
        <w:rPr>
          <w:color w:themeColor="text1" w:val="000000"/>
        </w:rPr>
        <w:t>Strefa 116SU realizuje dokładnie odwrotny scenariusz: lokuje 8,32 ha terenu usługowego w środku jednorodnej tkanki mieszkaniowej jednorodzinnej, bez jakiegokolwiek pasa przejściowego. Jest to wewnętrzna sprzeczność projektu planu, a nie kwestia oceny czy preferencji mieszkańców.</w:t>
      </w:r>
    </w:p>
    <w:p>
      <w:pPr>
        <w:pStyle w:val="Normal"/>
        <w:spacing w:before="0" w:after="40"/>
        <w:jc w:val="both"/>
        <w:rPr>
          <w:color w:themeColor="text1" w:val="000000"/>
        </w:rPr>
      </w:pPr>
      <w:r>
        <w:rPr>
          <w:color w:themeColor="text1" w:val="000000"/>
        </w:rPr>
      </w:r>
    </w:p>
    <w:p>
      <w:pPr>
        <w:pStyle w:val="Normal"/>
        <w:spacing w:before="160" w:after="40"/>
        <w:jc w:val="both"/>
        <w:rPr>
          <w:b/>
          <w:bCs/>
        </w:rPr>
      </w:pPr>
      <w:r>
        <w:rPr>
          <w:b/>
          <w:bCs/>
        </w:rPr>
        <w:t>3. W skali całej gminy strefa 116SU jest ewenementem</w:t>
      </w:r>
    </w:p>
    <w:p>
      <w:pPr>
        <w:pStyle w:val="Normal"/>
        <w:spacing w:before="0" w:after="40"/>
        <w:jc w:val="both"/>
        <w:rPr/>
      </w:pPr>
      <w:r>
        <w:rPr>
          <w:color w:themeColor="text1" w:val="000000"/>
        </w:rPr>
        <w:t>W projekcie planu wyznaczono 176 stref usługowych o łącznej powierzchni ok. 308,7 ha. Tylko 11 z nich sąsiaduje wyłącznie ze strefami zabudowy mieszkaniowej. Strefa 116SU jest wśród nich zdecydowanie największa – ma 8,32 ha, podczas gdy druga w kolejności 2,64 ha, a pozostałe dziewięć mieści się w przedziale od 0,10 do 1,49 ha. Enklawy usługowe tej drugiej wielkości odpowiadają lokalnym punktom usługowym: sklepowi, przedszkolu, przychodni. Strefa o powierzchni 8,32 ha nie jest usługą lokalną obsługującą sąsiedztwo – jest terenem inwestycyjnym ulokowanym wewnątrz osiedla domów jednorodzinnych. W skali wszystkich 176 stref usługowych 116SU mieści się w pierwszej dziesiątce co do wielkości.</w:t>
      </w:r>
    </w:p>
    <w:p>
      <w:pPr>
        <w:pStyle w:val="Normal"/>
        <w:spacing w:before="0" w:after="40"/>
        <w:jc w:val="both"/>
        <w:rPr>
          <w:color w:themeColor="text1" w:val="000000"/>
        </w:rPr>
      </w:pPr>
      <w:r>
        <w:rPr>
          <w:color w:themeColor="text1" w:val="000000"/>
        </w:rPr>
      </w:r>
    </w:p>
    <w:p>
      <w:pPr>
        <w:pStyle w:val="Normal"/>
        <w:spacing w:before="160" w:after="40"/>
        <w:jc w:val="both"/>
        <w:rPr>
          <w:b/>
          <w:bCs/>
        </w:rPr>
      </w:pPr>
      <w:r>
        <w:rPr>
          <w:b/>
          <w:bCs/>
        </w:rPr>
        <w:t>4. Parametry strefy 116SU są ostrzejsze niż parametry wszystkich stref sąsiednich</w:t>
      </w:r>
    </w:p>
    <w:p>
      <w:pPr>
        <w:pStyle w:val="Normal"/>
        <w:spacing w:before="0" w:after="40"/>
        <w:jc w:val="both"/>
        <w:rPr/>
      </w:pPr>
      <w:r>
        <w:rPr/>
        <w:t>Strefa 116SU przylega bezpośrednio do stref 686SJ, 690SJ, 693SJ i 695SJ, a w odległości kilkunastu metrów znajdują się 689SJ i 692SJ. W promieniu 60 m nie ma ani jednej innej strefy usługowej lub gospodarczej – najbliższa strefa produkcji rolniczej leży ok. 227 m dalej, a strefa komunikacyjna ok. 2 km dalej. Zestawienie parametrów:</w:t>
      </w:r>
    </w:p>
    <w:p>
      <w:pPr>
        <w:pStyle w:val="Normal"/>
        <w:spacing w:before="0" w:after="40"/>
        <w:jc w:val="both"/>
        <w:rPr/>
      </w:pPr>
      <w:r>
        <w:rPr/>
        <w:t xml:space="preserve">• </w:t>
      </w:r>
      <w:r>
        <w:rPr/>
        <w:t>116SU (sporna): udział powierzchni zabudowy 50%, wysokość 10 m, powierzchnia biologicznie czynna 30%, intensywność 0,8;</w:t>
      </w:r>
    </w:p>
    <w:p>
      <w:pPr>
        <w:pStyle w:val="Normal"/>
        <w:spacing w:before="0" w:after="40"/>
        <w:jc w:val="both"/>
        <w:rPr/>
      </w:pPr>
      <w:r>
        <w:rPr/>
        <w:t xml:space="preserve">• </w:t>
      </w:r>
      <w:r>
        <w:rPr/>
        <w:t>686SJ: 30%, 9 m, 55%, 0,6   • 690SJ: 30%, 9 m, 60%, 0,6   • 693SJ: 30%, 9 m, 50%, 0,6</w:t>
      </w:r>
    </w:p>
    <w:p>
      <w:pPr>
        <w:pStyle w:val="Normal"/>
        <w:spacing w:before="0" w:after="40"/>
        <w:jc w:val="both"/>
        <w:rPr/>
      </w:pPr>
      <w:r>
        <w:rPr/>
        <w:t xml:space="preserve">• </w:t>
      </w:r>
      <w:r>
        <w:rPr/>
        <w:t>695SJ: 25%, 9 m, 50%, 0,5   • 689SJ: 30%, 9 m, 50%, 0,6   • 692SJ: 35%, 9 m, 40%, 0,7</w:t>
      </w:r>
    </w:p>
    <w:p>
      <w:pPr>
        <w:pStyle w:val="Normal"/>
        <w:spacing w:before="0" w:after="40"/>
        <w:jc w:val="both"/>
        <w:rPr/>
      </w:pPr>
      <w:r>
        <w:rPr>
          <w:color w:themeColor="text1" w:val="000000"/>
        </w:rPr>
        <w:t>Strefa sporna ma zatem najwyższy dopuszczalny udział zabudowy, najwyższą dopuszczalną wysokość, najwyższą intensywność i najniższy wymagany udział powierzchni biologicznie czynnej ze wszystkich stref w swoim otoczeniu. Projekt nie przewiduje żadnego złagodzenia parametrów ani pasa zieleni izolacyjnej na styku z zabudową mieszkaniową.</w:t>
      </w:r>
    </w:p>
    <w:p>
      <w:pPr>
        <w:pStyle w:val="Normal"/>
        <w:rPr/>
      </w:pPr>
      <w:r>
        <w:rPr/>
      </w:r>
    </w:p>
    <w:p>
      <w:pPr>
        <w:pStyle w:val="Normal"/>
        <w:spacing w:before="160" w:after="40"/>
        <w:jc w:val="both"/>
        <w:rPr>
          <w:b/>
          <w:bCs/>
        </w:rPr>
      </w:pPr>
      <w:r>
        <w:rPr>
          <w:b/>
          <w:bCs/>
        </w:rPr>
        <w:t>5. Brak indywidualnego uzasadnienia dla tego rozstrzygnięcia</w:t>
      </w:r>
    </w:p>
    <w:p>
      <w:pPr>
        <w:pStyle w:val="Normal"/>
        <w:spacing w:before="0" w:after="40"/>
        <w:jc w:val="both"/>
        <w:rPr/>
      </w:pPr>
      <w:r>
        <w:rPr/>
        <w:t>Oznaczenie 116SU nie pojawia się ani razu w tekstowej części uzasadnienia projektu planu, ani w prognozie oddziaływania na środowisko. Dla największej enklawy usługowej otoczonej zabudową mieszkaniową w całej gminie, stanowiącej odstępstwo od zadeklarowanej metodyki, nie przedstawiono żadnego indywidualnego wyjaśnienia. Zgodnie z art. 1 ust. 2 pkt 7 oraz art. 1 ust. 3 ustawy z dnia 27 marca 2003 r. o planowaniu i zagospodarowaniu przestrzennym organ, ważąc interes publiczny i interesy prywatne, ma obowiązek uwzględnić prawo własności i oprzeć rozstrzygnięcie na analizach ekonomicznych, środowiskowych i społecznych. Wnoszę o wskazanie w uzasadnieniu, jaka konkretna potrzeba publiczna wymaga wyznaczenia strefy usługowej właśnie w tym miejscu i dlaczego nie rozważono lokalizacji alternatywnych, w tym niewykorzystanych rezerw w strefach gospodarczych, które w projekcie planu obejmują ok. 1401 ha.</w:t>
      </w:r>
    </w:p>
    <w:p>
      <w:pPr>
        <w:pStyle w:val="Normal"/>
        <w:rPr/>
      </w:pPr>
      <w:r>
        <w:rPr/>
      </w:r>
    </w:p>
    <w:p>
      <w:pPr>
        <w:pStyle w:val="Normal"/>
        <w:spacing w:before="160" w:after="40"/>
        <w:jc w:val="both"/>
        <w:rPr>
          <w:b/>
          <w:bCs/>
        </w:rPr>
      </w:pPr>
      <w:r>
        <w:rPr>
          <w:b/>
          <w:bCs/>
        </w:rPr>
        <w:t>6. Nikt o wyznaczenie tej strefy nie wnioskował</w:t>
      </w:r>
    </w:p>
    <w:p>
      <w:pPr>
        <w:pStyle w:val="Normal"/>
        <w:spacing w:before="0" w:after="40"/>
        <w:jc w:val="both"/>
        <w:rPr/>
      </w:pPr>
      <w:r>
        <w:rPr/>
        <w:t xml:space="preserve">Przeszukano całą dokumentację wniosków wyłożoną do konsultacji: wykaz wniosków część A i B (48 stron) oraz komplet 125 oryginalnych wniosków z części A (517 stron). </w:t>
      </w:r>
    </w:p>
    <w:p>
      <w:pPr>
        <w:pStyle w:val="Normal"/>
        <w:spacing w:before="0" w:after="40"/>
        <w:jc w:val="both"/>
        <w:rPr/>
      </w:pPr>
      <w:r>
        <w:rPr>
          <w:b w:val="false"/>
          <w:bCs w:val="false"/>
        </w:rPr>
        <w:t>Żaden wniosek nie dotyczy działek 338, 339, 340 ani 341 z obrębu Dąbrowa.</w:t>
      </w:r>
      <w:r>
        <w:rPr/>
        <w:t xml:space="preserve"> Numery te nie występują ani w wykazie wniosków, ani w treści któregokolwiek ze 125 złożonych wniosków. </w:t>
      </w:r>
      <w:r>
        <w:rPr>
          <w:b/>
          <w:bCs/>
        </w:rPr>
        <w:t>Oznacza to, że o wyznaczenie strefy usługowej w tym miejscu nie wnioskował nikt — ani mieszkańcy, ani właściciel terenu, ani żadna instytucja.</w:t>
      </w:r>
    </w:p>
    <w:p>
      <w:pPr>
        <w:pStyle w:val="Normal"/>
        <w:spacing w:before="0" w:after="40"/>
        <w:jc w:val="both"/>
        <w:rPr/>
      </w:pPr>
      <w:r>
        <w:rPr/>
        <w:t>Strefa 116SU nie ma zatem ani wnioskodawcy, ani uzasadnienia w dokumencie planu, ani oceny skutków w prognozie oddziaływania na środowisko. Wnoszę o wskazanie, na jakiej podstawie i z czyjej inicjatywy ustalenie to zostało wprowadzone do projektu.</w:t>
      </w:r>
    </w:p>
    <w:p>
      <w:pPr>
        <w:pStyle w:val="Normal"/>
        <w:rPr/>
      </w:pPr>
      <w:r>
        <w:rPr/>
      </w:r>
    </w:p>
    <w:p>
      <w:pPr>
        <w:pStyle w:val="Normal"/>
        <w:spacing w:before="160" w:after="40"/>
        <w:jc w:val="both"/>
        <w:rPr>
          <w:b/>
          <w:bCs/>
        </w:rPr>
      </w:pPr>
      <w:r>
        <w:rPr>
          <w:b/>
          <w:bCs/>
        </w:rPr>
        <w:t>7. Stanowisko Ministra Rolnictwa i Rozwoju Wsi co do skali i rozmieszczenia stref inwestycyjnych</w:t>
      </w:r>
    </w:p>
    <w:p>
      <w:pPr>
        <w:pStyle w:val="Normal"/>
        <w:spacing w:before="0" w:after="40"/>
        <w:jc w:val="both"/>
        <w:rPr/>
      </w:pPr>
      <w:r>
        <w:rPr/>
        <w:t>W opinii z 20 maja 2026 r. (znak DNI.tr.660.560.2026), wydanej na podstawie art. 13i ust. 3 pkt 5 lit. a ustawy o planowaniu i zagospodarowaniu przestrzennym, Minister Rolnictwa i Rozwoju Wsi zakwestionował przyjętą w projekcie skalę terenów inwestycyjnych oraz sposób ich rozmieszczenia. Cytaty z pisma:</w:t>
      </w:r>
    </w:p>
    <w:p>
      <w:pPr>
        <w:pStyle w:val="Normal"/>
        <w:spacing w:before="0" w:after="40"/>
        <w:jc w:val="both"/>
        <w:rPr/>
      </w:pPr>
      <w:r>
        <w:rPr/>
        <w:t>• „</w:t>
      </w:r>
      <w:r>
        <w:rPr/>
        <w:t>powierzchnie terenów SP i SU są znacznie przeszacowane w stosunku do realnego zapotrzebowania na takie tereny. W projekcie planu ogólnego powstało 146 stref SP i 181 stref SU. (…) Nie wszystkie powinny być zatem przeznaczone na cele inwestycyjne”;</w:t>
      </w:r>
    </w:p>
    <w:p>
      <w:pPr>
        <w:pStyle w:val="Normal"/>
        <w:spacing w:before="0" w:after="40"/>
        <w:jc w:val="both"/>
        <w:rPr/>
      </w:pPr>
      <w:r>
        <w:rPr/>
        <w:t>• „</w:t>
      </w:r>
      <w:r>
        <w:rPr/>
        <w:t>Zasadne jest, aby strefy planistyczne były wyznaczane w otoczeniu istniejących już obszarów o zbliżonych cechach zagospodarowania terenu, tworząc tym samym ze sobą funkcjonalne i przestrzenne powiązania”;</w:t>
      </w:r>
    </w:p>
    <w:p>
      <w:pPr>
        <w:pStyle w:val="Normal"/>
        <w:spacing w:before="0" w:after="40"/>
        <w:jc w:val="both"/>
        <w:rPr/>
      </w:pPr>
      <w:r>
        <w:rPr/>
        <w:t>• „</w:t>
      </w:r>
      <w:r>
        <w:rPr/>
        <w:t>Nieuzasadnione jest planowanie nowych stref inwestycyjnych (SU, SJ, SP, SN) w otwartej rolniczej przestrzeni produkcyjnej, na terenach dotychczas niezabudowanych”.</w:t>
      </w:r>
    </w:p>
    <w:p>
      <w:pPr>
        <w:pStyle w:val="Normal"/>
        <w:spacing w:before="0" w:after="40"/>
        <w:jc w:val="both"/>
        <w:rPr/>
      </w:pPr>
      <w:r>
        <w:rPr/>
        <w:t>Strefa 116SU odpowiada obu wskazanym przez Ministra kryteriom negatywnym. Jest nową strefą usługową wyznaczoną na terenie dotychczas niezabudowanym, użytkowanym rolniczo. Nie leży też „w otoczeniu istniejących już obszarów o zbliżonych cechach zagospodarowania” — wszystkie strefy bezpośrednio z nią sąsiadujące to strefy zabudowy mieszkaniowej jednorodzinnej.</w:t>
      </w:r>
    </w:p>
    <w:p>
      <w:pPr>
        <w:pStyle w:val="Normal"/>
        <w:spacing w:before="0" w:after="40"/>
        <w:jc w:val="both"/>
        <w:rPr/>
      </w:pPr>
      <w:r>
        <w:rPr/>
        <w:t>Wnoszę o odniesienie się do stanowiska Ministra w zakresie dotyczącym strefy 116SU.</w:t>
      </w:r>
    </w:p>
    <w:p>
      <w:pPr>
        <w:pStyle w:val="Normal"/>
        <w:rPr/>
      </w:pPr>
      <w:r>
        <w:rPr/>
      </w:r>
    </w:p>
    <w:p>
      <w:pPr>
        <w:pStyle w:val="Normal"/>
        <w:spacing w:before="160" w:after="40"/>
        <w:jc w:val="both"/>
        <w:rPr>
          <w:b/>
          <w:bCs/>
        </w:rPr>
      </w:pPr>
      <w:r>
        <w:rPr>
          <w:b/>
          <w:bCs/>
        </w:rPr>
        <w:t>8. Bilans chłonności nie stoi na przeszkodzie żądanej zmianie – wynika to z obliczeń samej Gminy</w:t>
      </w:r>
    </w:p>
    <w:p>
      <w:pPr>
        <w:pStyle w:val="Normal"/>
        <w:spacing w:before="0" w:after="40"/>
        <w:jc w:val="both"/>
        <w:rPr/>
      </w:pPr>
      <w:r>
        <w:rPr/>
        <w:t>Uzasadnienie projektu planu (str. 71–72) podaje: zapotrzebowanie na nową zabudowę mieszkaniową wynosi 20 181 osób, dopuszczalny przedział chłonności to 14 126–26 235 osób, a łączna chłonność terenów niezabudowanych wynosi 25 727 osób, czyli 127,5% zapotrzebowania. Gmina stwierdza wprost: „Parametr całkowitej chłonności w gminie mieści się w przedziale od 70% do 130% zapotrzebowania, zatem możliwe jest wyznaczenie dodatkowych stref, o których mowa w art. 13c ust. 2 pkt 1-3 ustawy – do osiągnięcia progu 130% (26 235 os. dla gminy Dopiewo)”. Zapas do progu wynosi zatem 508 osób.</w:t>
      </w:r>
    </w:p>
    <w:p>
      <w:pPr>
        <w:pStyle w:val="Normal"/>
        <w:spacing w:before="0" w:after="40"/>
        <w:jc w:val="both"/>
        <w:rPr/>
      </w:pPr>
      <w:r>
        <w:rPr/>
        <w:t>Stosując wzór przyjęty przez Gminę dla stref SJ (powierzchnia luk podzielona przez średnią powierzchnię działki budowlanej w obrębie, pomnożona przez wskaźnik korygujący i przez 2,35 osoby na mieszkanie) oraz wartości przyjęte przez Gminę dla obrębu Dąbrowa (średnia powierzchnia działki 758,2 m², wskaźnik korygujący 56%), objęcie całej powierzchni 116SU strefą SJ daje: 83 207 m² / 758,2 m² × 0,56 × 2,35 = ok. 144 osoby. Łączna chłonność wzrosłaby z 25 727 do ok. 25 871 osób, czyli ze 127,5% do ok. 128,2% zapotrzebowania – nadal poniżej ustawowego progu 130%, z zapasem ok. 364 osób. Jest to wartość maksymalna, liczona dla całej powierzchni strefy.</w:t>
      </w:r>
    </w:p>
    <w:p>
      <w:pPr>
        <w:pStyle w:val="Normal"/>
        <w:spacing w:before="0" w:after="40"/>
        <w:jc w:val="both"/>
        <w:rPr/>
      </w:pPr>
      <w:r>
        <w:rPr/>
        <w:t>Żądana zmiana jest więc możliwa do wprowadzenia bez naruszenia art. 13d ust. 2 ustawy i bez konieczności ograniczania stref mieszkaniowych w innych częściach gminy. Argument o wyczerpaniu bilansu nie może stanowić podstawy nieuwzględnienia niniejszej uwagi.</w:t>
      </w:r>
    </w:p>
    <w:p>
      <w:pPr>
        <w:pStyle w:val="Normal"/>
        <w:spacing w:before="0" w:after="40"/>
        <w:jc w:val="both"/>
        <w:rPr/>
      </w:pPr>
      <w:r>
        <w:rPr/>
      </w:r>
    </w:p>
    <w:p>
      <w:pPr>
        <w:pStyle w:val="Normal"/>
        <w:spacing w:before="160" w:after="40"/>
        <w:jc w:val="both"/>
        <w:rPr>
          <w:b/>
          <w:bCs/>
        </w:rPr>
      </w:pPr>
      <w:r>
        <w:rPr>
          <w:b/>
          <w:bCs/>
        </w:rPr>
        <w:t>9. Teren wyłączono z obszaru uzupełnienia zabudowy, choć leży w środku zabudowy</w:t>
      </w:r>
    </w:p>
    <w:p>
      <w:pPr>
        <w:pStyle w:val="Normal"/>
        <w:spacing w:before="0" w:after="40"/>
        <w:jc w:val="both"/>
        <w:rPr/>
      </w:pPr>
      <w:r>
        <w:rPr/>
        <w:t>Strefa 116SU w całości znajduje się poza obszarem uzupełnienia zabudowy, podczas gdy otaczające ją strefy mieszkaniowe są tym obszarem objęte w znacznej części (m.in. 686SJ, 689SJ, 690SJ i 685SJ). Oznacza to, że teren fizycznie położony w środku istniejącej tkanki zabudowy został z niej wyłączony w dokumencie planistycznym, a zabudowa usługowa będzie mogła powstać wyłącznie na podstawie odrębnego planu miejscowego. Rozstrzygnięcie to tworzy zatem rezerwę pod przyszłą inwestycję komercyjną wewnątrz osiedla mieszkaniowego, zamiast domykać strukturę zabudowy mieszkaniowej, którą teren ten w naturalny sposób uzupełnia.</w:t>
      </w:r>
    </w:p>
    <w:p>
      <w:pPr>
        <w:pStyle w:val="Normal"/>
        <w:spacing w:before="0" w:after="40"/>
        <w:jc w:val="both"/>
        <w:rPr/>
      </w:pPr>
      <w:r>
        <w:rPr/>
      </w:r>
    </w:p>
    <w:p>
      <w:pPr>
        <w:pStyle w:val="Normal"/>
        <w:spacing w:before="160" w:after="40"/>
        <w:jc w:val="both"/>
        <w:rPr>
          <w:b/>
          <w:bCs/>
        </w:rPr>
      </w:pPr>
      <w:r>
        <w:rPr>
          <w:b/>
          <w:bCs/>
        </w:rPr>
        <w:t>10. Ochrona gruntów rolnych klas chronionych</w:t>
      </w:r>
    </w:p>
    <w:p>
      <w:pPr>
        <w:pStyle w:val="Normal"/>
        <w:spacing w:before="0" w:after="40"/>
        <w:jc w:val="both"/>
        <w:rPr/>
      </w:pPr>
      <w:r>
        <w:rPr/>
        <w:t>Zgodnie z uzasadnieniem projektu planu grunty chronione klas IIIa i IIIb zajmują w gminie 1835 ha, czyli niecałe 17% jej powierzchni, i podlegają szczególnej ochronie. Art. 6 ust. 1 ustawy z dnia 3 lutego 1995 r. o ochronie gruntów rolnych i leśnych nakazuje przeznaczać na cele nierolnicze przede wszystkim grunty oznaczone jako nieużytki, a w razie ich braku grunty o najniższej przydatności produkcyjnej. Projekt nie zawiera analizy wykazującej, że dla lokalizacji funkcji usługowej wyczerpano grunty słabszych klas. Konsekwentne zastosowanie zasady ochrony gleb prowadzi albo do pozostawienia terenu w użytkowaniu rolniczym, albo – skoro teren leży wśród zabudowy – do objęcia go strefą mieszkaniową o niskiej intensywności, zgodnie z metodyką opisaną w punkcie 1 powyżej. Nie prowadzi natomiast do strefy usługowej o udziale zabudowy 50% i powierzchni biologicznie czynnej 30%.</w:t>
      </w:r>
    </w:p>
    <w:p>
      <w:pPr>
        <w:pStyle w:val="Normal"/>
        <w:rPr/>
      </w:pPr>
      <w:r>
        <w:rPr/>
      </w:r>
    </w:p>
    <w:p>
      <w:pPr>
        <w:pStyle w:val="Normal"/>
        <w:rPr/>
      </w:pPr>
      <w:r>
        <w:rPr>
          <w:b/>
        </w:rPr>
        <w:t>11. Ochrona zaufania obywateli do organów gminy i praw nabytych</w:t>
      </w:r>
      <w:r>
        <w:rPr/>
        <w:t xml:space="preserve"> Podejmując decyzje o osiedleniu się w tym miejscu, inwestycjach życiowych oraz budowie domów, mieszkańcy i nabywcy gruntów opierali się na zaufaniu do dotychczasowego planowania przestrzennego gminy, w którym teren ten oznaczony był w Studium uwarunkowań symbolem M1 (zabudowa mieszkaniowa). Arbitralna i nagła zmiana funkcji z mieszkaniowej na usługową rażąco narusza zasadę zaufania do organów administracji. Takie działanie krzywdzi społeczność lokalną i naraża właścicieli okolicznych nieruchomości na drastyczny, niczym nieuzasadniony spadek wartości ich mienia, </w:t>
      </w:r>
      <w:r>
        <w:rPr>
          <w:b w:val="false"/>
          <w:bCs w:val="false"/>
        </w:rPr>
        <w:t>co może skutkować wystąpieniem z roszczeniami odszkodowawczymi wobec gminy.</w:t>
      </w:r>
    </w:p>
    <w:p>
      <w:pPr>
        <w:pStyle w:val="Normal"/>
        <w:rPr>
          <w:b w:val="false"/>
          <w:bCs w:val="false"/>
        </w:rPr>
      </w:pPr>
      <w:r>
        <w:rPr>
          <w:b w:val="false"/>
          <w:bCs w:val="false"/>
        </w:rPr>
      </w:r>
    </w:p>
    <w:p>
      <w:pPr>
        <w:pStyle w:val="Normal"/>
        <w:rPr/>
      </w:pPr>
      <w:r>
        <w:rPr>
          <w:b/>
          <w:bCs w:val="false"/>
        </w:rPr>
        <w:t>12. Ciągłość ładu przestrzennego i zasada dobrego sąsiedztwa</w:t>
      </w:r>
      <w:r>
        <w:rPr>
          <w:b w:val="false"/>
          <w:bCs w:val="false"/>
        </w:rPr>
        <w:t xml:space="preserve"> Wskazane działki bezpośrednio sąsiadują z terenami, dla których w planach ogólnych przewiduje się (lub na których już istnieje) strefę mieszkaniową o parametrach tożsamych z wnioskowanymi. Wprowadzenie w tym miejscu strefy usługowej drastycznie zaburzyłoby ciągłość ładu przestrzennego i doprowadziło do głębokiego dysonansu funkcjonalnego. Funkcja usługowa nieuchronnie wiąże się z uciążliwościami: wzmożonym ruchem pojazdów dostawczych, hałasem operacyjnym, zanieczyszczeniem środowiska oraz światłem po zmroku. Strefa usługowa stanowić będzie głęboki dysonans funkcjonalny i drastycznie obniży standard i jakość życia mieszkańców sąsiadujących posesji jednorodzinnych. Ustanowienie wnioskowanych parametrów zabudowy jednorodzinnej zagwarantuje harmonijne wpisanie się nowej zabudowy w kontekst urbanistyczny, chroniąc spójność całej okolicy. </w:t>
      </w:r>
    </w:p>
    <w:p>
      <w:pPr>
        <w:pStyle w:val="Normal"/>
        <w:rPr>
          <w:b w:val="false"/>
          <w:bCs w:val="false"/>
        </w:rPr>
      </w:pPr>
      <w:r>
        <w:rPr>
          <w:b w:val="false"/>
          <w:bCs w:val="false"/>
        </w:rPr>
      </w:r>
    </w:p>
    <w:p>
      <w:pPr>
        <w:pStyle w:val="Normal"/>
        <w:rPr/>
      </w:pPr>
      <w:r>
        <w:rPr>
          <w:b/>
          <w:bCs w:val="false"/>
        </w:rPr>
        <w:t>13. Stabilność funkcji mieszkaniowej a ryzyko uciążliwości strefy usługowej</w:t>
      </w:r>
      <w:r>
        <w:rPr>
          <w:b w:val="false"/>
          <w:bCs w:val="false"/>
        </w:rPr>
        <w:t xml:space="preserve"> Strefa zabudowy mieszkaniowej jednorodzinnej odznacza się niezwykle wysoką stabilnością parametrów i przewidywalnością funkcji w długim horyzoncie czasowym. W przeciwieństwie do niej, strefa usługowa podlega nieustannym zmianom profilu działalności, które z reguły ewoluują w kierunki znacznie bardziej uciążliwe dla otoczenia. Wprowadzenie strefy usługowej niesie ze sobą ogromne ryzyko późniejszych przekształceń generujących zwiększony hałas, nasilony ruch pojazdów dostawczych i klientów oraz emisję zanieczyszczeń, co w sposób nieodwracalny zdegraduje jakość sąsiadującej przestrzeni mieszkalnej.</w:t>
      </w:r>
    </w:p>
    <w:p>
      <w:pPr>
        <w:pStyle w:val="Normal"/>
        <w:rPr>
          <w:b w:val="false"/>
          <w:bCs w:val="false"/>
        </w:rPr>
      </w:pPr>
      <w:r>
        <w:rPr>
          <w:b w:val="false"/>
          <w:bCs w:val="false"/>
        </w:rPr>
      </w:r>
    </w:p>
    <w:p>
      <w:pPr>
        <w:pStyle w:val="Normal"/>
        <w:rPr/>
      </w:pPr>
      <w:r>
        <w:rPr>
          <w:b/>
          <w:bCs w:val="false"/>
        </w:rPr>
        <w:t>14. Niewydolność i niekompatybilność układu drogowego</w:t>
      </w:r>
      <w:r>
        <w:rPr>
          <w:b w:val="false"/>
          <w:bCs w:val="false"/>
        </w:rPr>
        <w:t xml:space="preserve"> Lokalna infrastruktura drogowa w tym rejonie, ze względu na swoją geometrię i parametry techniczne, jest dostosowana wyłącznie do obsługi spokojnej zabudowy mieszkaniowej. Zlokalizowanie w tym miejscu strefy usługowej wygeneruje nieadekwatne obciążenia komunikacyjne (w tym ruch ciężki i dostawczy), na które układ drogowy nie jest przygotowany. Doprowadzi to do paraliżu transportowego oraz spadku bezpieczeństwa mieszkańców i pieszych.</w:t>
      </w:r>
    </w:p>
    <w:p>
      <w:pPr>
        <w:pStyle w:val="Normal"/>
        <w:rPr>
          <w:b w:val="false"/>
          <w:bCs w:val="false"/>
          <w:color w:themeColor="text1" w:val="000000"/>
        </w:rPr>
      </w:pPr>
      <w:r>
        <w:rPr>
          <w:b w:val="false"/>
          <w:bCs w:val="false"/>
          <w:color w:themeColor="text1" w:val="000000"/>
        </w:rPr>
      </w:r>
    </w:p>
    <w:p>
      <w:pPr>
        <w:pStyle w:val="Normal"/>
        <w:spacing w:before="160" w:after="40"/>
        <w:jc w:val="both"/>
        <w:rPr>
          <w:b/>
          <w:bCs/>
        </w:rPr>
      </w:pPr>
      <w:r>
        <w:rPr>
          <w:b/>
          <w:bCs/>
        </w:rPr>
        <w:t>15. Wniosek</w:t>
      </w:r>
    </w:p>
    <w:p>
      <w:pPr>
        <w:pStyle w:val="Normal"/>
        <w:spacing w:before="0" w:after="40"/>
        <w:jc w:val="both"/>
        <w:rPr/>
      </w:pPr>
      <w:r>
        <w:rPr/>
        <w:t>Wnoszę o objęcie działek nr 338/1–338/7, 339, 340, 341/1 i 341/2 w obrębie Dąbrowa strefą wielofunkcyjną z zabudową mieszkaniową jednorodzinną (SJ) o parametrach tożsamych z bezpośrednio sąsiadującą strefą 686SJ, to jest: maksymalna nadziemna intensywność zabudowy 0,6; maksymalny udział powierzchni zabudowy 30%; maksymalna wysokość zabudowy 9 m; minimalny udział powierzchni biologicznie czynnej 55%. Rozwiązanie to jest zgodne z metodyką opisaną przez Gminę w uzasadnieniu projektu planu, mieści się w ustawowym limicie chłonności i nie wymaga zmian w innych częściach planu.</w:t>
      </w:r>
    </w:p>
    <w:p>
      <w:pPr>
        <w:pStyle w:val="Normal"/>
        <w:spacing w:before="0" w:after="40"/>
        <w:jc w:val="both"/>
        <w:rPr>
          <w:b w:val="false"/>
          <w:bCs w:val="false"/>
          <w:color w:themeColor="text1" w:val="000000"/>
        </w:rPr>
      </w:pPr>
      <w:r>
        <w:rPr>
          <w:b w:val="false"/>
          <w:bCs w:val="false"/>
          <w:color w:themeColor="text1" w:val="000000"/>
        </w:rPr>
      </w:r>
    </w:p>
    <w:p>
      <w:pPr>
        <w:pStyle w:val="Normal"/>
        <w:spacing w:before="0" w:after="40"/>
        <w:jc w:val="both"/>
        <w:rPr/>
      </w:pPr>
      <w:r>
        <w:rPr/>
        <w:t xml:space="preserve">W razie nieuwzględnienia żądania głównego wnoszę – jako o żądanie ewentualne – o objęcie przedmiotowego terenu </w:t>
      </w:r>
      <w:r>
        <w:rPr>
          <w:b/>
          <w:bCs/>
        </w:rPr>
        <w:t>strefą otwartą (SO)</w:t>
      </w:r>
      <w:r>
        <w:rPr/>
        <w:t xml:space="preserve"> bez dodatkowych profili funkcjonalnych. Rozwiązanie to odpowiada wprost stanowisku Ministra Rolnictwa i Rozwoju Wsi, który dla stref obejmujących użytki klas chronionych wskazał, że „tereny objęte tymi strefami należy włączyć do sąsiadujących stref otwartych bądź wyznaczyć na nich inną strefę o charakterze rolniczym”, a także z zasadą opisaną przez Gminę na str. 47 uzasadnienia, zgodnie z którą tereny użytków rolnych klas IIIa i IIIb poza obszarami zabudowanymi obejmowano „przede wszystkim strefą planistyczną SO bez dodatkowych profili funkcjonalnych”. Objęcie terenu strefą otwartą jest rozwiązaniem dalej idącym w kierunku ochrony gruntów niż strefa usługowa i pozostaje spójne z ustaleniami przyjętymi w planie dla pozostałych gruntów chronionych w gminie.</w:t>
      </w:r>
    </w:p>
    <w:p>
      <w:pPr>
        <w:pStyle w:val="Normal"/>
        <w:spacing w:before="0" w:after="40"/>
        <w:jc w:val="both"/>
        <w:rPr>
          <w:rFonts w:eastAsia="Calibri"/>
          <w:b w:val="false"/>
          <w:bCs w:val="false"/>
          <w:iCs w:val="false"/>
          <w:color w:themeColor="text1" w:val="000000"/>
          <w:sz w:val="2"/>
          <w:szCs w:val="24"/>
          <w:lang w:eastAsia="en-US"/>
        </w:rPr>
      </w:pPr>
      <w:r>
        <w:rPr>
          <w:rFonts w:eastAsia="Calibri"/>
          <w:b w:val="false"/>
          <w:bCs w:val="false"/>
          <w:iCs w:val="false"/>
          <w:color w:themeColor="text1" w:val="000000"/>
          <w:sz w:val="2"/>
          <w:szCs w:val="24"/>
          <w:lang w:eastAsia="en-US"/>
        </w:rPr>
      </w:r>
    </w:p>
    <w:sectPr>
      <w:headerReference w:type="even" r:id="rId2"/>
      <w:headerReference w:type="default" r:id="rId3"/>
      <w:headerReference w:type="first" r:id="rId4"/>
      <w:endnotePr>
        <w:numFmt w:val="decimal"/>
      </w:endnotePr>
      <w:type w:val="nextPage"/>
      <w:pgSz w:w="11906" w:h="16838"/>
      <w:pgMar w:left="1080" w:right="1080" w:gutter="0" w:header="0" w:top="993" w:footer="0" w:bottom="1440"/>
      <w:pgNumType w:fmt="decimal"/>
      <w:formProt w:val="false"/>
      <w:titlePg/>
      <w:textDirection w:val="lrTb"/>
      <w:docGrid w:type="default" w:linePitch="360" w:charSpace="0"/>
    </w:sectPr>
  </w:body>
</w:document>
</file>

<file path=word/endnotes.xml><?xml version="1.0" encoding="utf-8"?>
<w:end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endnote w:id="0" w:type="separator">
    <w:p>
      <w:r>
        <w:separator/>
      </w:r>
    </w:p>
  </w:endnote>
  <w:endnote w:id="1" w:type="continuationSeparator">
    <w:p>
      <w:r>
        <w:continuationSeparator/>
      </w:r>
    </w:p>
  </w:endnote>
  <w:endnote w:id="2">
    <w:p>
      <w:pPr>
        <w:pStyle w:val="EndnoteText"/>
        <w:spacing w:before="50" w:after="50"/>
        <w:jc w:val="both"/>
        <w:rPr>
          <w:color w:themeColor="text1" w:val="000000"/>
        </w:rPr>
      </w:pPr>
      <w:r>
        <w:rPr>
          <w:rStyle w:val="EndnoteCharacters"/>
        </w:rPr>
        <w:endnoteRef/>
      </w:r>
      <w:r>
        <w:rPr>
          <w:sz w:val="16"/>
          <w:szCs w:val="16"/>
          <w:vertAlign w:val="superscript"/>
        </w:rPr>
        <w:t>)</w:t>
      </w:r>
      <w:r>
        <w:rPr>
          <w:rStyle w:val="EndnoteCharacters"/>
          <w:sz w:val="16"/>
          <w:szCs w:val="16"/>
        </w:rPr>
        <w:t xml:space="preserve"> </w:t>
      </w:r>
      <w:r>
        <w:rPr>
          <w:sz w:val="16"/>
          <w:szCs w:val="16"/>
        </w:rPr>
        <w:t>Można zaznaczyć więcej niż jedno pole. W ramach jednego pisma można wybrać tylko te akty, w przypadku których pismo będzie wysyłane do tego samego organu wskazanego w pkt 1. W przypadku gdy treść wniosku lub uwag</w:t>
      </w:r>
      <w:r>
        <w:rPr>
          <w:color w:themeColor="text1" w:val="000000"/>
          <w:sz w:val="16"/>
          <w:szCs w:val="16"/>
        </w:rPr>
        <w:t>i związana jest z dokumentem powiązanym z aktem planowania przestrzennego (np. sporządzanej w toku procedowania aktu, w ramach strategicznej oceny oddziaływania na środowisko, prognozy oddziaływania na środowisko), należy w pkt 3 wybrać rodzaj aktu planowania przestrzennego, którego ten dokument dotyczy, po czym wprowadzić treść wniosku lub uwagi w pkt 7.1 lub 7.2.</w:t>
      </w:r>
    </w:p>
  </w:endnote>
  <w:endnote w:id="3">
    <w:p>
      <w:pPr>
        <w:pStyle w:val="EndnoteText"/>
        <w:spacing w:before="50" w:after="50"/>
        <w:jc w:val="both"/>
        <w:rPr>
          <w:color w:themeColor="text1" w:val="000000"/>
          <w:sz w:val="16"/>
          <w:szCs w:val="16"/>
        </w:rPr>
      </w:pPr>
      <w:r>
        <w:rPr>
          <w:rStyle w:val="EndnoteCharacters"/>
        </w:rPr>
        <w:endnoteRef/>
      </w:r>
      <w:r>
        <w:rPr>
          <w:color w:themeColor="text1" w:val="000000"/>
          <w:sz w:val="16"/>
          <w:szCs w:val="16"/>
          <w:vertAlign w:val="superscript"/>
        </w:rPr>
        <w:t>)</w:t>
      </w:r>
      <w:r>
        <w:rPr>
          <w:rStyle w:val="EndnoteCharacters"/>
          <w:color w:themeColor="text1" w:val="000000"/>
        </w:rPr>
        <w:t xml:space="preserve"> </w:t>
      </w:r>
      <w:r>
        <w:rPr>
          <w:color w:themeColor="text1" w:val="000000"/>
          <w:sz w:val="16"/>
          <w:szCs w:val="16"/>
        </w:rPr>
        <w:t>Nie dotyczy planu zagospodarowania przestrzennego województwa.</w:t>
      </w:r>
    </w:p>
  </w:endnote>
  <w:endnote w:id="4">
    <w:p>
      <w:pPr>
        <w:pStyle w:val="EndnoteText"/>
        <w:spacing w:before="50" w:after="50"/>
        <w:jc w:val="both"/>
        <w:rPr>
          <w:color w:themeColor="text1" w:val="000000"/>
          <w:sz w:val="16"/>
          <w:szCs w:val="16"/>
        </w:rPr>
      </w:pPr>
      <w:r>
        <w:rPr>
          <w:rStyle w:val="EndnoteCharacters"/>
        </w:rPr>
        <w:endnoteRef/>
      </w:r>
      <w:r>
        <w:rPr>
          <w:color w:themeColor="text1" w:val="000000"/>
          <w:sz w:val="16"/>
          <w:szCs w:val="16"/>
          <w:vertAlign w:val="superscript"/>
        </w:rPr>
        <w:t>)</w:t>
      </w:r>
      <w:r>
        <w:rPr>
          <w:color w:themeColor="text1" w:val="000000"/>
        </w:rPr>
        <w:t xml:space="preserve"> </w:t>
      </w:r>
      <w:r>
        <w:rPr>
          <w:color w:themeColor="text1" w:val="000000"/>
          <w:sz w:val="16"/>
          <w:szCs w:val="16"/>
        </w:rPr>
        <w:t>Nie dotyczy planu zagospodarowania przestrzennego województwa i audytu krajobrazowego.</w:t>
      </w:r>
    </w:p>
  </w:endnote>
  <w:endnote w:id="5">
    <w:p>
      <w:pPr>
        <w:pStyle w:val="ODNONIKtreodnonika"/>
        <w:spacing w:before="0" w:after="0"/>
        <w:jc w:val="both"/>
        <w:rPr>
          <w:color w:themeColor="text1" w:val="000000"/>
          <w:szCs w:val="16"/>
        </w:rPr>
      </w:pPr>
      <w:r>
        <w:rPr>
          <w:rStyle w:val="EndnoteCharacters"/>
        </w:rPr>
        <w:endnoteRef/>
      </w:r>
      <w:r>
        <w:rPr>
          <w:color w:themeColor="text1" w:val="000000"/>
          <w:szCs w:val="16"/>
          <w:vertAlign w:val="superscript"/>
        </w:rPr>
        <w:t>)</w:t>
      </w:r>
      <w:r>
        <w:rPr>
          <w:color w:themeColor="text1" w:val="000000"/>
          <w:szCs w:val="16"/>
        </w:rPr>
        <w:t xml:space="preserve"> W pkt 4 należy podać adres zamieszkania albo siedziby składającego pismo. W przypadku wypełnienia pkt 5 podaje się adres do korespondencji składającego pismo, jeżeli jest inny niż adres podany w pkt 4. W przypadku wypełnienia pkt 6 podaje się adres zamieszkania albo siedziby pełnomocnika. W przypadku większej liczby składających pismo lub pełnomocników dane kolejnych składających pismo lub pełnomocników dodaje się w formularzu albo zamieszcza na osobnych stronach i dołącza do formularza. </w:t>
      </w:r>
    </w:p>
  </w:endnote>
  <w:endnote w:id="6">
    <w:p>
      <w:pPr>
        <w:pStyle w:val="ODNONIKtreodnonika"/>
        <w:spacing w:before="0" w:after="0"/>
        <w:jc w:val="both"/>
        <w:rPr>
          <w:color w:themeColor="text1" w:val="000000"/>
          <w:szCs w:val="16"/>
        </w:rPr>
      </w:pPr>
      <w:r>
        <w:rPr>
          <w:rStyle w:val="EndnoteCharacters"/>
        </w:rPr>
        <w:endnoteRef/>
      </w:r>
      <w:r>
        <w:rPr>
          <w:rStyle w:val="EndnoteCharacters"/>
          <w:color w:themeColor="text1" w:val="000000"/>
          <w:szCs w:val="16"/>
        </w:rPr>
        <w:t>)</w:t>
      </w:r>
      <w:r>
        <w:rPr>
          <w:color w:themeColor="text1" w:val="000000"/>
          <w:szCs w:val="16"/>
        </w:rPr>
        <w:t xml:space="preserve"> </w:t>
      </w:r>
      <w:bookmarkStart w:id="25" w:name="_Hlk150008472_Copy_1_Copy_1_Copy_1_Copy_"/>
      <w:r>
        <w:rPr>
          <w:color w:themeColor="text1" w:val="000000"/>
          <w:szCs w:val="16"/>
        </w:rPr>
        <w:t xml:space="preserve">Adres </w:t>
      </w:r>
      <w:r>
        <w:rPr>
          <w:color w:themeColor="text1" w:val="000000"/>
          <w:spacing w:val="-2"/>
          <w:szCs w:val="16"/>
        </w:rPr>
        <w:t>skrytki ePUAP lub adres do doręczeń elektronicznych wskazuje się w przypadku wyrażenia zgody na doręczanie korespondencji za pomocą środków komunikacji elektronicznej, z zastrzeżeniem przypadków, w których organ, zgodnie z przepisami ustawy z dnia 18 listopada 2020 r. o doręczeniach elektronicznych (Dz. U. z 2023 r. poz. 285, z późn. zm.), ma obowiązek doręczenia korespondencji na adres do doręczeń elektronicznych</w:t>
      </w:r>
      <w:bookmarkEnd w:id="25"/>
      <w:r>
        <w:rPr>
          <w:color w:themeColor="text1" w:val="000000"/>
          <w:spacing w:val="-2"/>
          <w:szCs w:val="16"/>
        </w:rPr>
        <w:t>.</w:t>
      </w:r>
    </w:p>
  </w:endnote>
  <w:endnote w:id="7">
    <w:p>
      <w:pPr>
        <w:pStyle w:val="ODNONIKtreodnonika"/>
        <w:spacing w:before="0" w:after="0"/>
        <w:jc w:val="both"/>
        <w:rPr>
          <w:color w:themeColor="text1" w:val="000000"/>
          <w:szCs w:val="16"/>
        </w:rPr>
      </w:pPr>
      <w:r>
        <w:rPr>
          <w:rStyle w:val="EndnoteCharacters"/>
        </w:rPr>
        <w:endnoteRef/>
      </w:r>
      <w:r>
        <w:rPr>
          <w:color w:themeColor="text1" w:val="000000"/>
          <w:vertAlign w:val="superscript"/>
        </w:rPr>
        <w:t>)</w:t>
      </w:r>
      <w:r>
        <w:rPr>
          <w:color w:themeColor="text1" w:val="000000"/>
        </w:rPr>
        <w:t xml:space="preserve"> </w:t>
      </w:r>
      <w:r>
        <w:rPr>
          <w:color w:themeColor="text1" w:val="000000"/>
          <w:szCs w:val="16"/>
        </w:rPr>
        <w:t xml:space="preserve">Maksymalna liczba znaków w pkt 7.1. wynosi 1000, natomiast w przypadku pkt 7.2.4. wartość ta odnosi się do pojedynczego wiersza. W przypadku potrzeby dodatkowego uzasadnienia, które wykracza poza wskazany limit znaków, uzasadnienie zamieszcza się na osobnych stronach i dołącza do formularza. W przypadku większej liczby wierszy w pkt 7.2.4. kolejne wiersze dodaje się w formularzu albo zamieszcza na osobnych stronach i dołącza do formularza. </w:t>
      </w:r>
    </w:p>
  </w:endnote>
  <w:endnote w:id="8">
    <w:p>
      <w:pPr>
        <w:pStyle w:val="EndnoteText"/>
        <w:spacing w:before="50" w:after="50"/>
        <w:jc w:val="both"/>
        <w:rPr>
          <w:color w:themeColor="text1" w:val="000000"/>
        </w:rPr>
      </w:pPr>
      <w:r>
        <w:rPr>
          <w:rStyle w:val="EndnoteCharacters"/>
        </w:rPr>
        <w:endnoteRef/>
      </w:r>
      <w:r>
        <w:rPr>
          <w:color w:themeColor="text1" w:val="000000"/>
          <w:sz w:val="16"/>
          <w:szCs w:val="16"/>
          <w:vertAlign w:val="superscript"/>
        </w:rPr>
        <w:t>)</w:t>
      </w:r>
      <w:r>
        <w:rPr>
          <w:color w:themeColor="text1" w:val="000000"/>
        </w:rPr>
        <w:t xml:space="preserve"> </w:t>
      </w:r>
      <w:r>
        <w:rPr>
          <w:color w:themeColor="text1" w:val="000000"/>
          <w:sz w:val="16"/>
          <w:szCs w:val="16"/>
        </w:rPr>
        <w:t>W przypadku zaznaczenia pola „nie” (wskazania terenu objętego pismem jako części działki ewidencyjnej lub działek ewidencyjnych) można dodać załącznik z określeniem granic terenu w formie graficznej.</w:t>
      </w:r>
    </w:p>
  </w:endnote>
  <w:endnote w:id="9">
    <w:p>
      <w:pPr>
        <w:pStyle w:val="ODNONIKtreodnonika"/>
        <w:spacing w:before="0" w:after="0"/>
        <w:jc w:val="both"/>
        <w:rPr>
          <w:color w:themeColor="text1" w:val="000000"/>
          <w:szCs w:val="16"/>
        </w:rPr>
      </w:pPr>
      <w:r>
        <w:rPr>
          <w:rStyle w:val="EndnoteCharacters"/>
        </w:rPr>
        <w:endnoteRef/>
      </w:r>
      <w:r>
        <w:rPr>
          <w:color w:themeColor="text1" w:val="000000"/>
          <w:szCs w:val="16"/>
          <w:vertAlign w:val="superscript"/>
        </w:rPr>
        <w:t>)</w:t>
      </w:r>
      <w:r>
        <w:rPr>
          <w:color w:themeColor="text1" w:val="000000"/>
          <w:szCs w:val="16"/>
        </w:rPr>
        <w:t xml:space="preserve"> </w:t>
      </w:r>
      <w:bookmarkStart w:id="26" w:name="_Hlk150008530_Copy_1_Copy_1_Copy_1_Copy_"/>
      <w:bookmarkStart w:id="27" w:name="_Hlk150008135_Copy_1_Copy_1_Copy_1_Copy_"/>
      <w:r>
        <w:rPr>
          <w:color w:themeColor="text1" w:val="000000"/>
          <w:szCs w:val="16"/>
        </w:rPr>
        <w:t>Podaje się nazwę lub symbol klasy przeznaczenia terenu zgodnie ze standardami określonymi w przepisach wykonawczych wydanych na podstawie art. 16 ust. 2 ustawy z dnia 27 marca 2003 r. o planowaniu i zagospodarowaniu przestrzennym</w:t>
      </w:r>
      <w:bookmarkEnd w:id="26"/>
      <w:r>
        <w:rPr>
          <w:color w:themeColor="text1" w:val="000000"/>
          <w:szCs w:val="16"/>
        </w:rPr>
        <w:t xml:space="preserve"> (Dz. U. z 2023 r. poz. 977, z późn. zm.).</w:t>
      </w:r>
      <w:bookmarkEnd w:id="27"/>
      <w:r>
        <w:rPr>
          <w:color w:themeColor="text1" w:val="000000"/>
          <w:szCs w:val="16"/>
        </w:rPr>
        <w:t xml:space="preserve"> </w:t>
      </w:r>
    </w:p>
  </w:endnote>
  <w:endnote w:id="10">
    <w:p>
      <w:pPr>
        <w:pStyle w:val="EndnoteText"/>
        <w:spacing w:before="50" w:after="50"/>
        <w:jc w:val="both"/>
        <w:rPr>
          <w:color w:val="FF0000"/>
          <w:sz w:val="16"/>
          <w:szCs w:val="16"/>
        </w:rPr>
      </w:pPr>
      <w:r>
        <w:rPr>
          <w:rStyle w:val="EndnoteCharacters"/>
        </w:rPr>
        <w:endnoteRef/>
      </w:r>
      <w:r>
        <w:rPr>
          <w:color w:themeColor="text1" w:val="000000"/>
          <w:sz w:val="16"/>
          <w:szCs w:val="16"/>
          <w:vertAlign w:val="superscript"/>
        </w:rPr>
        <w:t xml:space="preserve">) </w:t>
      </w:r>
      <w:r>
        <w:rPr>
          <w:color w:themeColor="text1" w:val="000000"/>
          <w:sz w:val="16"/>
          <w:szCs w:val="16"/>
        </w:rPr>
        <w:t>W przypadku dołączenia do pisma załączników zawierających dane osobowe, inne niż wymienione w pkt 4, 5 i 6, załączniki te należy zanonimizować, tj. ukryć dane osobowe.</w:t>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color w:val="FF0000"/>
          <w:sz w:val="16"/>
          <w:szCs w:val="16"/>
        </w:rPr>
      </w:r>
    </w:p>
    <w:p>
      <w:pPr>
        <w:pStyle w:val="EndnoteText"/>
        <w:spacing w:before="50" w:after="50"/>
        <w:jc w:val="both"/>
        <w:rPr>
          <w:color w:val="FF0000"/>
          <w:sz w:val="16"/>
          <w:szCs w:val="16"/>
        </w:rPr>
      </w:pPr>
      <w:r>
        <w:rPr/>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Times">
    <w:altName w:val="Times New Roman"/>
    <w:charset w:val="01"/>
    <w:family w:val="roman"/>
    <w:pitch w:val="variable"/>
  </w:font>
  <w:font w:name="A">
    <w:charset w:val="01"/>
    <w:family w:val="roman"/>
    <w:pitch w:val="variable"/>
  </w:font>
  <w:font w:name="MS Gothic">
    <w:charset w:val="01"/>
    <w:family w:val="roman"/>
    <w:pitch w:val="variable"/>
  </w:font>
  <w:font w:name="Segoe UI Symbo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00" w:after="5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pacing w:lineRule="auto" w:line="264" w:before="200" w:after="5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OZNPROJEKTUwskazaniedatylubwersjiprojektu"/>
      <w:spacing w:lineRule="auto" w:line="240"/>
      <w:rPr>
        <w:sz w:val="22"/>
        <w:szCs w:val="18"/>
      </w:rPr>
    </w:pPr>
    <w:r>
      <w:rPr>
        <w:sz w:val="22"/>
        <w:szCs w:val="1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360" w:hanging="360"/>
      </w:pPr>
      <w:rPr>
        <w:b/>
      </w:rPr>
    </w:lvl>
    <w:lvl w:ilvl="1">
      <w:start w:val="1"/>
      <w:numFmt w:val="decimal"/>
      <w:lvlText w:val="%1.%2."/>
      <w:lvlJc w:val="left"/>
      <w:pPr>
        <w:tabs>
          <w:tab w:val="num" w:pos="0"/>
        </w:tabs>
        <w:ind w:left="43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none"/>
      <w:suff w:val="nothing"/>
      <w:lvlText w:val="B."/>
      <w:lvlJc w:val="left"/>
      <w:pPr>
        <w:tabs>
          <w:tab w:val="num" w:pos="0"/>
        </w:tabs>
        <w:ind w:left="357" w:hanging="357"/>
      </w:pPr>
      <w:rPr>
        <w:b/>
      </w:rPr>
    </w:lvl>
    <w:lvl w:ilvl="1">
      <w:start w:val="1"/>
      <w:numFmt w:val="decimal"/>
      <w:lvlText w:val="%1B.%2."/>
      <w:lvlJc w:val="left"/>
      <w:pPr>
        <w:tabs>
          <w:tab w:val="num" w:pos="0"/>
        </w:tabs>
        <w:ind w:left="792" w:hanging="432"/>
      </w:pPr>
      <w:rPr/>
    </w:lvl>
    <w:lvl w:ilvl="2">
      <w:start w:val="1"/>
      <w:numFmt w:val="decimal"/>
      <w:lvlText w:val="%1B.%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none"/>
      <w:suff w:val="nothing"/>
      <w:lvlText w:val="B."/>
      <w:lvlJc w:val="left"/>
      <w:pPr>
        <w:tabs>
          <w:tab w:val="num" w:pos="0"/>
        </w:tabs>
        <w:ind w:left="357" w:hanging="357"/>
      </w:pPr>
      <w:rPr>
        <w:b/>
      </w:rPr>
    </w:lvl>
    <w:lvl w:ilvl="1">
      <w:start w:val="1"/>
      <w:numFmt w:val="decimal"/>
      <w:lvlText w:val="%1B.%2."/>
      <w:lvlJc w:val="left"/>
      <w:pPr>
        <w:tabs>
          <w:tab w:val="num" w:pos="0"/>
        </w:tabs>
        <w:ind w:left="716" w:hanging="432"/>
      </w:pPr>
      <w:rPr/>
    </w:lvl>
    <w:lvl w:ilvl="2">
      <w:start w:val="1"/>
      <w:numFmt w:val="decimal"/>
      <w:lvlText w:val="%1B.%2.%3."/>
      <w:lvlJc w:val="left"/>
      <w:pPr>
        <w:tabs>
          <w:tab w:val="num" w:pos="0"/>
        </w:tabs>
        <w:ind w:left="1224" w:hanging="504"/>
      </w:pPr>
      <w:rPr>
        <w:sz w:val="16"/>
        <w:szCs w:val="16"/>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none"/>
      <w:suff w:val="nothing"/>
      <w:lvlText w:val="C."/>
      <w:lvlJc w:val="left"/>
      <w:pPr>
        <w:tabs>
          <w:tab w:val="num" w:pos="0"/>
        </w:tabs>
        <w:ind w:left="357" w:hanging="357"/>
      </w:pPr>
      <w:rPr>
        <w:b/>
      </w:rPr>
    </w:lvl>
    <w:lvl w:ilvl="1">
      <w:start w:val="1"/>
      <w:numFmt w:val="decimal"/>
      <w:lvlText w:val="%1C.%2."/>
      <w:lvlJc w:val="left"/>
      <w:pPr>
        <w:tabs>
          <w:tab w:val="num" w:pos="0"/>
        </w:tabs>
        <w:ind w:left="792" w:hanging="432"/>
      </w:pPr>
      <w:rPr>
        <w:b w:val="false"/>
      </w:rPr>
    </w:lvl>
    <w:lvl w:ilvl="2">
      <w:start w:val="1"/>
      <w:numFmt w:val="decimal"/>
      <w:lvlText w:val="%1C.%2.%3."/>
      <w:lvlJc w:val="left"/>
      <w:pPr>
        <w:tabs>
          <w:tab w:val="num" w:pos="0"/>
        </w:tabs>
        <w:ind w:left="1224" w:hanging="504"/>
      </w:pPr>
      <w:rPr>
        <w:sz w:val="16"/>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none"/>
      <w:suff w:val="nothing"/>
      <w:lvlText w:val="D."/>
      <w:lvlJc w:val="left"/>
      <w:pPr>
        <w:tabs>
          <w:tab w:val="num" w:pos="0"/>
        </w:tabs>
        <w:ind w:left="357" w:hanging="357"/>
      </w:pPr>
      <w:rPr>
        <w:b/>
      </w:rPr>
    </w:lvl>
    <w:lvl w:ilvl="1">
      <w:start w:val="1"/>
      <w:numFmt w:val="decimal"/>
      <w:lvlText w:val="%1D.%2."/>
      <w:lvlJc w:val="left"/>
      <w:pPr>
        <w:tabs>
          <w:tab w:val="num" w:pos="0"/>
        </w:tabs>
        <w:ind w:left="792" w:hanging="432"/>
      </w:pPr>
      <w:rPr>
        <w:sz w:val="20"/>
        <w:b w:val="false"/>
      </w:rPr>
    </w:lvl>
    <w:lvl w:ilvl="2">
      <w:start w:val="1"/>
      <w:numFmt w:val="decimal"/>
      <w:lvlText w:val="%1D.%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upperLetter"/>
      <w:lvlText w:val="%1."/>
      <w:lvlJc w:val="left"/>
      <w:pPr>
        <w:tabs>
          <w:tab w:val="num" w:pos="0"/>
        </w:tabs>
        <w:ind w:left="360" w:hanging="360"/>
      </w:pPr>
      <w:rPr/>
    </w:lvl>
    <w:lvl w:ilvl="1">
      <w:start w:val="1"/>
      <w:numFmt w:val="decimal"/>
      <w:lvlText w:val="%1.%2."/>
      <w:lvlJc w:val="left"/>
      <w:pPr>
        <w:tabs>
          <w:tab w:val="num" w:pos="0"/>
        </w:tabs>
        <w:ind w:left="716" w:hanging="432"/>
      </w:pPr>
      <w:rPr/>
    </w:lvl>
    <w:lvl w:ilvl="2">
      <w:start w:val="1"/>
      <w:numFmt w:val="decimal"/>
      <w:lvlText w:val="%1.%2.%3."/>
      <w:lvlJc w:val="left"/>
      <w:pPr>
        <w:tabs>
          <w:tab w:val="num" w:pos="0"/>
        </w:tabs>
        <w:ind w:left="1224" w:hanging="504"/>
      </w:pPr>
      <w:rPr>
        <w:sz w:val="16"/>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5"/>
  <w:defaultTabStop w:val="708"/>
  <w:autoHyphenation w:val="true"/>
  <w:endnotePr>
    <w:numFmt w:val="decimal"/>
    <w:endnote w:id="0"/>
    <w:endnote w:id="1"/>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umentProtection w:edit="trackedChanges" w:cryptProviderType="rsaAES" w:cryptAlgorithmClass="hash" w:cryptAlgorithmType="typeAny" w:cryptAlgorithmSid="" w:cryptSpinCount="0" w:hash="" w:sal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e2c7a"/>
    <w:pPr>
      <w:widowControl w:val="false"/>
      <w:suppressAutoHyphens w:val="true"/>
      <w:bidi w:val="0"/>
      <w:spacing w:lineRule="auto" w:line="240" w:before="50" w:after="50"/>
      <w:jc w:val="left"/>
    </w:pPr>
    <w:rPr>
      <w:rFonts w:ascii="Arial" w:hAnsi="Arial" w:eastAsia="Times New Roman" w:cs="Arial"/>
      <w:iCs/>
      <w:color w:val="auto"/>
      <w:kern w:val="0"/>
      <w:sz w:val="20"/>
      <w:szCs w:val="22"/>
      <w:lang w:val="pl-PL" w:eastAsia="pl-PL" w:bidi="ar-SA"/>
    </w:rPr>
  </w:style>
  <w:style w:type="paragraph" w:styleId="Heading1">
    <w:name w:val="Heading 1"/>
    <w:basedOn w:val="Header"/>
    <w:next w:val="Normal"/>
    <w:link w:val="Nagwek1Znak"/>
    <w:uiPriority w:val="9"/>
    <w:qFormat/>
    <w:rsid w:val="00a54c83"/>
    <w:pPr>
      <w:shd w:val="clear" w:color="D9D9D9" w:fill="D9D9D9" w:themeFill="background1" w:themeFillShade="d9"/>
      <w:spacing w:lineRule="auto" w:line="276" w:before="120" w:after="50"/>
      <w:jc w:val="center"/>
      <w:outlineLvl w:val="0"/>
    </w:pPr>
    <w:rPr>
      <w:rFonts w:ascii="Arial" w:hAnsi="Arial"/>
      <w:color w:val="auto"/>
      <w:sz w:val="28"/>
      <w:szCs w:val="28"/>
    </w:rPr>
  </w:style>
  <w:style w:type="paragraph" w:styleId="Heading2">
    <w:name w:val="Heading 2"/>
    <w:basedOn w:val="NoSpacing"/>
    <w:next w:val="Normal"/>
    <w:link w:val="Nagwek2Znak"/>
    <w:uiPriority w:val="9"/>
    <w:unhideWhenUsed/>
    <w:qFormat/>
    <w:rsid w:val="00da0dd2"/>
    <w:pPr>
      <w:numPr>
        <w:ilvl w:val="0"/>
        <w:numId w:val="0"/>
      </w:numPr>
      <w:shd w:val="clear" w:color="auto" w:fill="D9D9D9" w:themeFill="background1" w:themeFillShade="d9"/>
      <w:spacing w:before="100" w:after="120"/>
      <w:ind w:left="113"/>
      <w:outlineLvl w:val="1"/>
    </w:pPr>
    <w:rPr>
      <w:bCs/>
      <w:szCs w:val="22"/>
    </w:rPr>
  </w:style>
  <w:style w:type="paragraph" w:styleId="Heading3">
    <w:name w:val="Heading 3"/>
    <w:basedOn w:val="Heading2"/>
    <w:next w:val="Normal"/>
    <w:link w:val="Nagwek3Znak"/>
    <w:uiPriority w:val="9"/>
    <w:unhideWhenUsed/>
    <w:qFormat/>
    <w:rsid w:val="00b40a31"/>
    <w:pPr>
      <w:shd w:val="clear" w:color="auto" w:fill="auto"/>
      <w:ind w:hanging="431" w:left="431"/>
      <w:outlineLvl w:val="2"/>
    </w:pPr>
    <w:rPr>
      <w:b w:val="false"/>
      <w:sz w:val="20"/>
    </w:rPr>
  </w:style>
  <w:style w:type="paragraph" w:styleId="Heading4">
    <w:name w:val="Heading 4"/>
    <w:basedOn w:val="Heading3"/>
    <w:next w:val="Normal"/>
    <w:link w:val="Nagwek4Znak"/>
    <w:uiPriority w:val="9"/>
    <w:unhideWhenUsed/>
    <w:qFormat/>
    <w:rsid w:val="00f95535"/>
    <w:pPr>
      <w:ind w:hanging="431" w:left="431"/>
      <w:outlineLvl w:val="3"/>
    </w:pPr>
    <w:rPr>
      <w:sz w:val="16"/>
    </w:rPr>
  </w:style>
  <w:style w:type="paragraph" w:styleId="Heading5">
    <w:name w:val="Heading 5"/>
    <w:basedOn w:val="NoSpacing"/>
    <w:next w:val="Normal"/>
    <w:link w:val="Nagwek5Znak"/>
    <w:uiPriority w:val="9"/>
    <w:unhideWhenUsed/>
    <w:qFormat/>
    <w:rsid w:val="00026789"/>
    <w:pPr>
      <w:numPr>
        <w:ilvl w:val="0"/>
        <w:numId w:val="1"/>
      </w:numPr>
      <w:outlineLvl w:val="4"/>
    </w:pPr>
    <w:rPr>
      <w:bCs/>
      <w:szCs w:val="22"/>
    </w:rPr>
  </w:style>
  <w:style w:type="paragraph" w:styleId="Heading6">
    <w:name w:val="Heading 6"/>
    <w:basedOn w:val="Heading5"/>
    <w:next w:val="Normal"/>
    <w:link w:val="Nagwek6Znak"/>
    <w:uiPriority w:val="9"/>
    <w:unhideWhenUsed/>
    <w:qFormat/>
    <w:rsid w:val="002c3382"/>
    <w:pPr>
      <w:numPr>
        <w:ilvl w:val="1"/>
        <w:numId w:val="6"/>
      </w:numPr>
      <w:outlineLvl w:val="5"/>
    </w:pPr>
    <w:rPr>
      <w:b w:val="false"/>
      <w:sz w:val="20"/>
    </w:rPr>
  </w:style>
  <w:style w:type="paragraph" w:styleId="Heading7">
    <w:name w:val="Heading 7"/>
    <w:basedOn w:val="Heading5"/>
    <w:next w:val="Normal"/>
    <w:link w:val="Nagwek7Znak"/>
    <w:uiPriority w:val="9"/>
    <w:unhideWhenUsed/>
    <w:qFormat/>
    <w:rsid w:val="001e010f"/>
    <w:pPr>
      <w:numPr>
        <w:ilvl w:val="0"/>
        <w:numId w:val="2"/>
      </w:numPr>
      <w:outlineLvl w:val="6"/>
    </w:pPr>
    <w:rPr/>
  </w:style>
  <w:style w:type="paragraph" w:styleId="Heading8">
    <w:name w:val="Heading 8"/>
    <w:basedOn w:val="Heading6"/>
    <w:next w:val="Normal"/>
    <w:link w:val="Nagwek8Znak"/>
    <w:uiPriority w:val="9"/>
    <w:unhideWhenUsed/>
    <w:qFormat/>
    <w:rsid w:val="00026789"/>
    <w:pPr>
      <w:numPr>
        <w:ilvl w:val="1"/>
        <w:numId w:val="3"/>
      </w:numPr>
      <w:ind w:hanging="431" w:left="431"/>
      <w:outlineLvl w:val="7"/>
    </w:pPr>
    <w:rPr/>
  </w:style>
  <w:style w:type="paragraph" w:styleId="Heading9">
    <w:name w:val="Heading 9"/>
    <w:basedOn w:val="Heading8"/>
    <w:next w:val="Normal"/>
    <w:link w:val="Nagwek9Znak"/>
    <w:uiPriority w:val="9"/>
    <w:unhideWhenUsed/>
    <w:qFormat/>
    <w:rsid w:val="009239ca"/>
    <w:pPr>
      <w:ind w:hanging="505" w:left="567"/>
      <w:outlineLvl w:val="8"/>
    </w:pPr>
    <w:rPr>
      <w:sz w:val="16"/>
    </w:rPr>
  </w:style>
  <w:style w:type="character" w:styleId="DefaultParagraphFont" w:default="1">
    <w:name w:val="Default Paragraph Font"/>
    <w:uiPriority w:val="1"/>
    <w:unhideWhenUsed/>
    <w:qFormat/>
    <w:rPr/>
  </w:style>
  <w:style w:type="character" w:styleId="Nagwek1Znak" w:customStyle="1">
    <w:name w:val="Nagłówek 1 Znak"/>
    <w:basedOn w:val="DefaultParagraphFont"/>
    <w:link w:val="Heading1"/>
    <w:uiPriority w:val="9"/>
    <w:qFormat/>
    <w:rsid w:val="00a54c83"/>
    <w:rPr>
      <w:rFonts w:ascii="Arial" w:hAnsi="Arial" w:eastAsia="Calibri" w:cs="Arial"/>
      <w:b/>
      <w:sz w:val="28"/>
      <w:szCs w:val="28"/>
      <w:shd w:fill="D9D9D9" w:val="clear"/>
    </w:rPr>
  </w:style>
  <w:style w:type="character" w:styleId="Nagwek2Znak" w:customStyle="1">
    <w:name w:val="Nagłówek 2 Znak"/>
    <w:basedOn w:val="DefaultParagraphFont"/>
    <w:link w:val="Heading2"/>
    <w:uiPriority w:val="9"/>
    <w:qFormat/>
    <w:rsid w:val="00da0dd2"/>
    <w:rPr>
      <w:rFonts w:ascii="Arial" w:hAnsi="Arial" w:eastAsia="Calibri" w:cs="Arial"/>
      <w:b/>
      <w:bCs/>
      <w:sz w:val="24"/>
      <w:shd w:fill="D9D9D9" w:val="clear"/>
    </w:rPr>
  </w:style>
  <w:style w:type="character" w:styleId="Nagwek3Znak" w:customStyle="1">
    <w:name w:val="Nagłówek 3 Znak"/>
    <w:basedOn w:val="DefaultParagraphFont"/>
    <w:link w:val="Heading3"/>
    <w:uiPriority w:val="9"/>
    <w:qFormat/>
    <w:rsid w:val="00b40a31"/>
    <w:rPr>
      <w:rFonts w:ascii="Arial" w:hAnsi="Arial" w:eastAsia="Calibri" w:cs="Arial"/>
      <w:bCs/>
      <w:sz w:val="20"/>
    </w:rPr>
  </w:style>
  <w:style w:type="character" w:styleId="Nagwek4Znak" w:customStyle="1">
    <w:name w:val="Nagłówek 4 Znak"/>
    <w:basedOn w:val="DefaultParagraphFont"/>
    <w:link w:val="Heading4"/>
    <w:uiPriority w:val="9"/>
    <w:qFormat/>
    <w:rsid w:val="00f95535"/>
    <w:rPr>
      <w:rFonts w:ascii="Arial" w:hAnsi="Arial" w:eastAsia="Calibri" w:cs="Arial"/>
      <w:bCs/>
      <w:sz w:val="16"/>
    </w:rPr>
  </w:style>
  <w:style w:type="character" w:styleId="Nagwek5Znak" w:customStyle="1">
    <w:name w:val="Nagłówek 5 Znak"/>
    <w:basedOn w:val="DefaultParagraphFont"/>
    <w:link w:val="Heading5"/>
    <w:uiPriority w:val="9"/>
    <w:qFormat/>
    <w:rsid w:val="00026789"/>
    <w:rPr>
      <w:rFonts w:ascii="Arial" w:hAnsi="Arial" w:eastAsia="Calibri" w:cs="Arial"/>
      <w:b/>
      <w:bCs/>
      <w:sz w:val="24"/>
    </w:rPr>
  </w:style>
  <w:style w:type="character" w:styleId="Nagwek6Znak" w:customStyle="1">
    <w:name w:val="Nagłówek 6 Znak"/>
    <w:basedOn w:val="DefaultParagraphFont"/>
    <w:link w:val="Heading6"/>
    <w:uiPriority w:val="9"/>
    <w:qFormat/>
    <w:rsid w:val="002c3382"/>
    <w:rPr>
      <w:rFonts w:ascii="Arial" w:hAnsi="Arial" w:eastAsia="Calibri" w:cs="Arial"/>
      <w:bCs/>
      <w:sz w:val="20"/>
    </w:rPr>
  </w:style>
  <w:style w:type="character" w:styleId="Nagwek7Znak" w:customStyle="1">
    <w:name w:val="Nagłówek 7 Znak"/>
    <w:basedOn w:val="DefaultParagraphFont"/>
    <w:link w:val="Heading7"/>
    <w:uiPriority w:val="9"/>
    <w:qFormat/>
    <w:rsid w:val="001e010f"/>
    <w:rPr>
      <w:rFonts w:ascii="Arial" w:hAnsi="Arial" w:eastAsia="Calibri" w:cs="Arial"/>
      <w:b/>
      <w:bCs/>
      <w:sz w:val="24"/>
    </w:rPr>
  </w:style>
  <w:style w:type="character" w:styleId="Nagwek8Znak" w:customStyle="1">
    <w:name w:val="Nagłówek 8 Znak"/>
    <w:basedOn w:val="DefaultParagraphFont"/>
    <w:link w:val="Heading8"/>
    <w:uiPriority w:val="9"/>
    <w:qFormat/>
    <w:rsid w:val="00026789"/>
    <w:rPr>
      <w:rFonts w:ascii="Arial" w:hAnsi="Arial" w:eastAsia="Calibri" w:cs="Arial"/>
      <w:bCs/>
      <w:sz w:val="20"/>
    </w:rPr>
  </w:style>
  <w:style w:type="character" w:styleId="Nagwek9Znak" w:customStyle="1">
    <w:name w:val="Nagłówek 9 Znak"/>
    <w:basedOn w:val="DefaultParagraphFont"/>
    <w:link w:val="Heading9"/>
    <w:uiPriority w:val="9"/>
    <w:qFormat/>
    <w:rsid w:val="009239ca"/>
    <w:rPr>
      <w:rFonts w:ascii="Arial" w:hAnsi="Arial" w:eastAsia="Calibri" w:cs="Arial"/>
      <w:bCs/>
      <w:sz w:val="16"/>
    </w:rPr>
  </w:style>
  <w:style w:type="character" w:styleId="TytuZnak" w:customStyle="1">
    <w:name w:val="Tytuł Znak"/>
    <w:basedOn w:val="DefaultParagraphFont"/>
    <w:link w:val="Title"/>
    <w:uiPriority w:val="10"/>
    <w:qFormat/>
    <w:rsid w:val="00f41e38"/>
    <w:rPr>
      <w:rFonts w:ascii="Arial" w:hAnsi="Arial" w:eastAsia="Times New Roman" w:cs="Arial"/>
      <w:bCs/>
      <w:iCs/>
      <w:sz w:val="20"/>
      <w:lang w:eastAsia="pl-PL"/>
    </w:rPr>
  </w:style>
  <w:style w:type="character" w:styleId="PodtytuZnak" w:customStyle="1">
    <w:name w:val="Podtytuł Znak"/>
    <w:basedOn w:val="DefaultParagraphFont"/>
    <w:link w:val="Subtitle"/>
    <w:uiPriority w:val="11"/>
    <w:qFormat/>
    <w:rsid w:val="006974ed"/>
    <w:rPr>
      <w:rFonts w:ascii="Arial" w:hAnsi="Arial" w:eastAsia="Times New Roman" w:cs="Arial"/>
      <w:sz w:val="20"/>
      <w:szCs w:val="24"/>
      <w:lang w:eastAsia="pl-PL"/>
    </w:rPr>
  </w:style>
  <w:style w:type="character" w:styleId="CytatZnak" w:customStyle="1">
    <w:name w:val="Cytat Znak"/>
    <w:basedOn w:val="DefaultParagraphFont"/>
    <w:link w:val="Quote"/>
    <w:uiPriority w:val="29"/>
    <w:qFormat/>
    <w:rsid w:val="00702973"/>
    <w:rPr>
      <w:rFonts w:ascii="Times New Roman" w:hAnsi="Times New Roman" w:eastAsia="Times New Roman" w:cs="Times New Roman"/>
      <w:i/>
      <w:sz w:val="20"/>
      <w:szCs w:val="20"/>
      <w:lang w:eastAsia="pl-PL"/>
    </w:rPr>
  </w:style>
  <w:style w:type="character" w:styleId="CytatintensywnyZnak" w:customStyle="1">
    <w:name w:val="Cytat intensywny Znak"/>
    <w:basedOn w:val="DefaultParagraphFont"/>
    <w:link w:val="IntenseQuote"/>
    <w:uiPriority w:val="30"/>
    <w:qFormat/>
    <w:rsid w:val="00702973"/>
    <w:rPr>
      <w:rFonts w:ascii="Times New Roman" w:hAnsi="Times New Roman" w:eastAsia="Times New Roman" w:cs="Times New Roman"/>
      <w:i/>
      <w:sz w:val="20"/>
      <w:szCs w:val="20"/>
      <w:shd w:fill="F2F2F2" w:val="clear"/>
      <w:lang w:eastAsia="pl-PL"/>
    </w:rPr>
  </w:style>
  <w:style w:type="character" w:styleId="HeaderChar" w:customStyle="1">
    <w:name w:val="Header Char"/>
    <w:basedOn w:val="DefaultParagraphFont"/>
    <w:uiPriority w:val="99"/>
    <w:qFormat/>
    <w:rsid w:val="00702973"/>
    <w:rPr/>
  </w:style>
  <w:style w:type="character" w:styleId="StopkaZnak" w:customStyle="1">
    <w:name w:val="Stopka Znak"/>
    <w:basedOn w:val="DefaultParagraphFont"/>
    <w:link w:val="Footer"/>
    <w:uiPriority w:val="99"/>
    <w:qFormat/>
    <w:rsid w:val="00702973"/>
    <w:rPr>
      <w:rFonts w:ascii="Times New Roman" w:hAnsi="Times New Roman" w:eastAsia="Times New Roman" w:cs="Times New Roman"/>
      <w:sz w:val="20"/>
      <w:szCs w:val="20"/>
      <w:lang w:eastAsia="pl-PL"/>
    </w:rPr>
  </w:style>
  <w:style w:type="character" w:styleId="FooterChar" w:customStyle="1">
    <w:name w:val="Footer Char"/>
    <w:basedOn w:val="DefaultParagraphFont"/>
    <w:uiPriority w:val="99"/>
    <w:qFormat/>
    <w:rsid w:val="00702973"/>
    <w:rPr/>
  </w:style>
  <w:style w:type="character" w:styleId="Hyperlink">
    <w:name w:val="Hyperlink"/>
    <w:uiPriority w:val="99"/>
    <w:unhideWhenUsed/>
    <w:rsid w:val="00702973"/>
    <w:rPr>
      <w:color w:themeColor="hyperlink" w:val="0000FF"/>
      <w:u w:val="single"/>
    </w:rPr>
  </w:style>
  <w:style w:type="character" w:styleId="FootnoteTextChar" w:customStyle="1">
    <w:name w:val="Footnote Text Char"/>
    <w:uiPriority w:val="99"/>
    <w:qFormat/>
    <w:rsid w:val="00702973"/>
    <w:rPr>
      <w:sz w:val="18"/>
    </w:rPr>
  </w:style>
  <w:style w:type="character" w:styleId="EndnoteTextChar" w:customStyle="1">
    <w:name w:val="Endnote Text Char"/>
    <w:uiPriority w:val="99"/>
    <w:qFormat/>
    <w:rsid w:val="00702973"/>
    <w:rPr>
      <w:sz w:val="20"/>
    </w:rPr>
  </w:style>
  <w:style w:type="character" w:styleId="TekstprzypisudolnegoZnak" w:customStyle="1">
    <w:name w:val="Tekst przypisu dolnego Znak"/>
    <w:basedOn w:val="DefaultParagraphFont"/>
    <w:link w:val="FootnoteText"/>
    <w:uiPriority w:val="99"/>
    <w:semiHidden/>
    <w:qFormat/>
    <w:rsid w:val="00702973"/>
    <w:rPr>
      <w:rFonts w:ascii="Times New Roman" w:hAnsi="Times New Roman" w:eastAsia="Times New Roman" w:cs="Times New Roman"/>
      <w:sz w:val="20"/>
      <w:szCs w:val="20"/>
      <w:lang w:eastAsia="pl-PL"/>
    </w:rPr>
  </w:style>
  <w:style w:type="character" w:styleId="NagwekZnak" w:customStyle="1">
    <w:name w:val="Nagłówek Znak"/>
    <w:basedOn w:val="DefaultParagraphFont"/>
    <w:link w:val="Header"/>
    <w:uiPriority w:val="99"/>
    <w:qFormat/>
    <w:rsid w:val="00702973"/>
    <w:rPr>
      <w:rFonts w:ascii="Calibri Light" w:hAnsi="Calibri Light" w:eastAsia="Calibri" w:cs="Times New Roman"/>
      <w:b/>
      <w:color w:val="5B9BD5"/>
      <w:sz w:val="44"/>
      <w:szCs w:val="24"/>
    </w:rPr>
  </w:style>
  <w:style w:type="character" w:styleId="FootnoteCharacters">
    <w:name w:val="Footnote Characters"/>
    <w:uiPriority w:val="99"/>
    <w:unhideWhenUsed/>
    <w:qFormat/>
    <w:rsid w:val="00702973"/>
    <w:rPr>
      <w:rFonts w:ascii="Times New Roman" w:hAnsi="Times New Roman" w:cs="Times New Roman"/>
      <w:vertAlign w:val="superscript"/>
    </w:rPr>
  </w:style>
  <w:style w:type="character" w:styleId="FootnoteReference">
    <w:name w:val="Footnote Reference"/>
    <w:rPr>
      <w:rFonts w:ascii="Times New Roman" w:hAnsi="Times New Roman" w:cs="Times New Roman"/>
      <w:vertAlign w:val="superscript"/>
    </w:rPr>
  </w:style>
  <w:style w:type="character" w:styleId="TekstprzypisukocowegoZnak" w:customStyle="1">
    <w:name w:val="Tekst przypisu końcowego Znak"/>
    <w:basedOn w:val="DefaultParagraphFont"/>
    <w:link w:val="EndnoteText"/>
    <w:uiPriority w:val="99"/>
    <w:qFormat/>
    <w:rsid w:val="00702973"/>
    <w:rPr>
      <w:rFonts w:ascii="Times New Roman" w:hAnsi="Times New Roman" w:eastAsia="Times New Roman" w:cs="Times New Roman"/>
      <w:sz w:val="20"/>
      <w:szCs w:val="20"/>
      <w:lang w:eastAsia="pl-PL"/>
    </w:rPr>
  </w:style>
  <w:style w:type="character" w:styleId="EndnoteCharacters">
    <w:name w:val="Endnote Characters"/>
    <w:uiPriority w:val="99"/>
    <w:unhideWhenUsed/>
    <w:qFormat/>
    <w:rsid w:val="00702973"/>
    <w:rPr>
      <w:vertAlign w:val="superscript"/>
    </w:rPr>
  </w:style>
  <w:style w:type="character" w:styleId="EndnoteReference">
    <w:name w:val="Endnote Reference"/>
    <w:rPr>
      <w:vertAlign w:val="superscript"/>
    </w:rPr>
  </w:style>
  <w:style w:type="character" w:styleId="TekstdymkaZnak" w:customStyle="1">
    <w:name w:val="Tekst dymka Znak"/>
    <w:basedOn w:val="DefaultParagraphFont"/>
    <w:link w:val="BalloonText"/>
    <w:uiPriority w:val="99"/>
    <w:semiHidden/>
    <w:qFormat/>
    <w:rsid w:val="00702973"/>
    <w:rPr>
      <w:rFonts w:ascii="Segoe UI" w:hAnsi="Segoe UI" w:eastAsia="Times New Roman" w:cs="Segoe UI"/>
      <w:sz w:val="18"/>
      <w:szCs w:val="18"/>
      <w:lang w:eastAsia="pl-PL"/>
    </w:rPr>
  </w:style>
  <w:style w:type="character" w:styleId="annotationreference">
    <w:name w:val="annotation reference"/>
    <w:basedOn w:val="DefaultParagraphFont"/>
    <w:uiPriority w:val="99"/>
    <w:semiHidden/>
    <w:unhideWhenUsed/>
    <w:qFormat/>
    <w:rsid w:val="00702973"/>
    <w:rPr>
      <w:sz w:val="16"/>
      <w:szCs w:val="16"/>
    </w:rPr>
  </w:style>
  <w:style w:type="character" w:styleId="TekstkomentarzaZnak" w:customStyle="1">
    <w:name w:val="Tekst komentarza Znak"/>
    <w:basedOn w:val="DefaultParagraphFont"/>
    <w:link w:val="AnnotationText"/>
    <w:uiPriority w:val="99"/>
    <w:qFormat/>
    <w:rsid w:val="00702973"/>
    <w:rPr>
      <w:rFonts w:ascii="Times New Roman" w:hAnsi="Times New Roman" w:eastAsia="Times New Roman" w:cs="Times New Roman"/>
      <w:sz w:val="20"/>
      <w:szCs w:val="20"/>
      <w:lang w:eastAsia="pl-PL"/>
    </w:rPr>
  </w:style>
  <w:style w:type="character" w:styleId="TematkomentarzaZnak" w:customStyle="1">
    <w:name w:val="Temat komentarza Znak"/>
    <w:basedOn w:val="TekstkomentarzaZnak"/>
    <w:link w:val="annotationsubject"/>
    <w:uiPriority w:val="99"/>
    <w:semiHidden/>
    <w:qFormat/>
    <w:rsid w:val="00702973"/>
    <w:rPr>
      <w:rFonts w:ascii="Times New Roman" w:hAnsi="Times New Roman" w:eastAsia="Times New Roman" w:cs="Times New Roman"/>
      <w:b/>
      <w:bCs/>
      <w:sz w:val="20"/>
      <w:szCs w:val="20"/>
      <w:lang w:eastAsia="pl-PL"/>
    </w:rPr>
  </w:style>
  <w:style w:type="character" w:styleId="IGindeksgrny" w:customStyle="1">
    <w:name w:val="_IG_ – indeks górny"/>
    <w:uiPriority w:val="2"/>
    <w:qFormat/>
    <w:rsid w:val="008776b9"/>
    <w:rPr>
      <w:sz w:val="20"/>
    </w:rPr>
  </w:style>
  <w:style w:type="character" w:styleId="Ppogrubienie" w:customStyle="1">
    <w:name w:val="_P_ – pogrubienie"/>
    <w:uiPriority w:val="1"/>
    <w:qFormat/>
    <w:rsid w:val="00702973"/>
    <w:rPr>
      <w:b/>
    </w:rPr>
  </w:style>
  <w:style w:type="character" w:styleId="SubtleEmphasis">
    <w:name w:val="Subtle Emphasis"/>
    <w:uiPriority w:val="19"/>
    <w:qFormat/>
    <w:rsid w:val="009239ca"/>
    <w:rPr>
      <w:sz w:val="16"/>
    </w:rPr>
  </w:style>
  <w:style w:type="character" w:styleId="PlaceholderText">
    <w:name w:val="Placeholder Text"/>
    <w:basedOn w:val="DefaultParagraphFont"/>
    <w:uiPriority w:val="99"/>
    <w:semiHidden/>
    <w:qFormat/>
    <w:rsid w:val="000f475f"/>
    <w:rPr>
      <w:color w:val="808080"/>
    </w:rPr>
  </w:style>
  <w:style w:type="character" w:styleId="Emphasis">
    <w:name w:val="Emphasis"/>
    <w:uiPriority w:val="20"/>
    <w:qFormat/>
    <w:rsid w:val="00f95535"/>
    <w:rPr>
      <w:sz w:val="16"/>
    </w:rPr>
  </w:style>
  <w:style w:type="character" w:styleId="UnresolvedMention">
    <w:name w:val="Unresolved Mention"/>
    <w:basedOn w:val="DefaultParagraphFont"/>
    <w:uiPriority w:val="99"/>
    <w:semiHidden/>
    <w:unhideWhenUsed/>
    <w:qFormat/>
    <w:rsid w:val="000c0bdc"/>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next w:val="Normal"/>
    <w:uiPriority w:val="35"/>
    <w:semiHidden/>
    <w:unhideWhenUsed/>
    <w:qFormat/>
    <w:rsid w:val="00702973"/>
    <w:pPr>
      <w:spacing w:lineRule="auto" w:line="276"/>
    </w:pPr>
    <w:rPr>
      <w:b/>
      <w:bCs/>
      <w:color w:themeColor="accent1" w:val="4F81BD"/>
      <w:sz w:val="18"/>
      <w:szCs w:val="18"/>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NagwekZnak"/>
    <w:uiPriority w:val="99"/>
    <w:unhideWhenUsed/>
    <w:qFormat/>
    <w:rsid w:val="00702973"/>
    <w:pPr>
      <w:widowControl/>
      <w:spacing w:lineRule="auto" w:line="264" w:before="200" w:after="50"/>
    </w:pPr>
    <w:rPr>
      <w:rFonts w:ascii="Calibri Light" w:hAnsi="Calibri Light" w:eastAsia="Calibri"/>
      <w:b/>
      <w:color w:val="5B9BD5"/>
      <w:sz w:val="44"/>
      <w:szCs w:val="24"/>
      <w:lang w:eastAsia="en-US"/>
    </w:rPr>
  </w:style>
  <w:style w:type="paragraph" w:styleId="Title">
    <w:name w:val="Title"/>
    <w:basedOn w:val="ODNONIKtreodnonika"/>
    <w:next w:val="Normal"/>
    <w:link w:val="TytuZnak"/>
    <w:uiPriority w:val="10"/>
    <w:qFormat/>
    <w:rsid w:val="00f41e38"/>
    <w:pPr>
      <w:spacing w:before="360" w:after="120"/>
      <w:jc w:val="right"/>
    </w:pPr>
    <w:rPr>
      <w:sz w:val="20"/>
    </w:rPr>
  </w:style>
  <w:style w:type="paragraph" w:styleId="Subtitle">
    <w:name w:val="Subtitle"/>
    <w:basedOn w:val="Nagwek10"/>
    <w:next w:val="Normal"/>
    <w:link w:val="PodtytuZnak"/>
    <w:uiPriority w:val="11"/>
    <w:qFormat/>
    <w:rsid w:val="006974ed"/>
    <w:pPr>
      <w:ind w:hanging="431" w:left="431"/>
    </w:pPr>
    <w:rPr>
      <w:b w:val="false"/>
      <w:sz w:val="20"/>
    </w:rPr>
  </w:style>
  <w:style w:type="paragraph" w:styleId="Quote">
    <w:name w:val="Quote"/>
    <w:basedOn w:val="Normal"/>
    <w:next w:val="Normal"/>
    <w:link w:val="CytatZnak"/>
    <w:uiPriority w:val="29"/>
    <w:qFormat/>
    <w:rsid w:val="00702973"/>
    <w:pPr>
      <w:ind w:left="720" w:right="720"/>
    </w:pPr>
    <w:rPr>
      <w:i/>
    </w:rPr>
  </w:style>
  <w:style w:type="paragraph" w:styleId="IntenseQuote">
    <w:name w:val="Intense Quote"/>
    <w:basedOn w:val="Normal"/>
    <w:next w:val="Normal"/>
    <w:link w:val="CytatintensywnyZnak"/>
    <w:uiPriority w:val="30"/>
    <w:qFormat/>
    <w:rsid w:val="00702973"/>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paragraph" w:styleId="Footer">
    <w:name w:val="Footer"/>
    <w:basedOn w:val="Normal"/>
    <w:link w:val="StopkaZnak"/>
    <w:uiPriority w:val="99"/>
    <w:unhideWhenUsed/>
    <w:rsid w:val="00702973"/>
    <w:pPr>
      <w:tabs>
        <w:tab w:val="clear" w:pos="708"/>
        <w:tab w:val="center" w:pos="7143" w:leader="none"/>
        <w:tab w:val="right" w:pos="14287" w:leader="none"/>
      </w:tabs>
    </w:pPr>
    <w:rPr/>
  </w:style>
  <w:style w:type="paragraph" w:styleId="TOC1">
    <w:name w:val="TOC 1"/>
    <w:basedOn w:val="Normal"/>
    <w:next w:val="Normal"/>
    <w:uiPriority w:val="39"/>
    <w:unhideWhenUsed/>
    <w:rsid w:val="00702973"/>
    <w:pPr>
      <w:spacing w:before="50" w:after="57"/>
    </w:pPr>
    <w:rPr/>
  </w:style>
  <w:style w:type="paragraph" w:styleId="TOC2">
    <w:name w:val="TOC 2"/>
    <w:basedOn w:val="Normal"/>
    <w:next w:val="Normal"/>
    <w:uiPriority w:val="39"/>
    <w:unhideWhenUsed/>
    <w:rsid w:val="00702973"/>
    <w:pPr>
      <w:spacing w:before="50" w:after="57"/>
      <w:ind w:left="283"/>
    </w:pPr>
    <w:rPr/>
  </w:style>
  <w:style w:type="paragraph" w:styleId="TOC3">
    <w:name w:val="TOC 3"/>
    <w:basedOn w:val="Normal"/>
    <w:next w:val="Normal"/>
    <w:uiPriority w:val="39"/>
    <w:unhideWhenUsed/>
    <w:rsid w:val="00702973"/>
    <w:pPr>
      <w:spacing w:before="50" w:after="57"/>
      <w:ind w:left="567"/>
    </w:pPr>
    <w:rPr/>
  </w:style>
  <w:style w:type="paragraph" w:styleId="TOC4">
    <w:name w:val="TOC 4"/>
    <w:basedOn w:val="Normal"/>
    <w:next w:val="Normal"/>
    <w:uiPriority w:val="39"/>
    <w:unhideWhenUsed/>
    <w:rsid w:val="00702973"/>
    <w:pPr>
      <w:spacing w:before="50" w:after="57"/>
      <w:ind w:left="850"/>
    </w:pPr>
    <w:rPr/>
  </w:style>
  <w:style w:type="paragraph" w:styleId="TOC5">
    <w:name w:val="TOC 5"/>
    <w:basedOn w:val="Normal"/>
    <w:next w:val="Normal"/>
    <w:uiPriority w:val="39"/>
    <w:unhideWhenUsed/>
    <w:rsid w:val="00702973"/>
    <w:pPr>
      <w:spacing w:before="50" w:after="57"/>
      <w:ind w:left="1134"/>
    </w:pPr>
    <w:rPr/>
  </w:style>
  <w:style w:type="paragraph" w:styleId="TOC6">
    <w:name w:val="TOC 6"/>
    <w:basedOn w:val="Normal"/>
    <w:next w:val="Normal"/>
    <w:uiPriority w:val="39"/>
    <w:unhideWhenUsed/>
    <w:rsid w:val="00702973"/>
    <w:pPr>
      <w:spacing w:before="50" w:after="57"/>
      <w:ind w:left="1417"/>
    </w:pPr>
    <w:rPr/>
  </w:style>
  <w:style w:type="paragraph" w:styleId="TOC7">
    <w:name w:val="TOC 7"/>
    <w:basedOn w:val="Normal"/>
    <w:next w:val="Normal"/>
    <w:uiPriority w:val="39"/>
    <w:unhideWhenUsed/>
    <w:rsid w:val="00702973"/>
    <w:pPr>
      <w:spacing w:before="50" w:after="57"/>
      <w:ind w:left="1701"/>
    </w:pPr>
    <w:rPr/>
  </w:style>
  <w:style w:type="paragraph" w:styleId="TOC8">
    <w:name w:val="TOC 8"/>
    <w:basedOn w:val="Normal"/>
    <w:next w:val="Normal"/>
    <w:uiPriority w:val="39"/>
    <w:unhideWhenUsed/>
    <w:rsid w:val="00702973"/>
    <w:pPr>
      <w:spacing w:before="50" w:after="57"/>
      <w:ind w:left="1984"/>
    </w:pPr>
    <w:rPr/>
  </w:style>
  <w:style w:type="paragraph" w:styleId="TOC9">
    <w:name w:val="TOC 9"/>
    <w:basedOn w:val="Normal"/>
    <w:next w:val="Normal"/>
    <w:uiPriority w:val="39"/>
    <w:unhideWhenUsed/>
    <w:rsid w:val="00702973"/>
    <w:pPr>
      <w:spacing w:before="50" w:after="57"/>
      <w:ind w:left="2268"/>
    </w:pPr>
    <w:rPr/>
  </w:style>
  <w:style w:type="paragraph" w:styleId="IndexHeading">
    <w:name w:val="Index Heading"/>
    <w:basedOn w:val="Heading"/>
    <w:pPr/>
    <w:rPr/>
  </w:style>
  <w:style w:type="paragraph" w:styleId="TOCHeading">
    <w:name w:val="TOC Heading"/>
    <w:uiPriority w:val="39"/>
    <w:unhideWhenUsed/>
    <w:qFormat/>
    <w:rsid w:val="00702973"/>
    <w:pPr>
      <w:widowControl/>
      <w:suppressAutoHyphens w:val="true"/>
      <w:bidi w:val="0"/>
      <w:spacing w:lineRule="auto" w:line="276" w:before="0" w:after="200"/>
      <w:jc w:val="left"/>
    </w:pPr>
    <w:rPr>
      <w:rFonts w:ascii="Calibri" w:hAnsi="Calibri" w:eastAsia="Calibri" w:cs="Calibri" w:asciiTheme="minorHAnsi" w:eastAsiaTheme="minorHAnsi" w:hAnsiTheme="minorHAnsi"/>
      <w:color w:val="auto"/>
      <w:kern w:val="0"/>
      <w:sz w:val="22"/>
      <w:szCs w:val="22"/>
      <w:lang w:val="pl-PL" w:eastAsia="en-US" w:bidi="ar-SA"/>
    </w:rPr>
  </w:style>
  <w:style w:type="paragraph" w:styleId="FootnoteText">
    <w:name w:val="Footnote Text"/>
    <w:basedOn w:val="Normal"/>
    <w:link w:val="TekstprzypisudolnegoZnak"/>
    <w:uiPriority w:val="99"/>
    <w:semiHidden/>
    <w:unhideWhenUsed/>
    <w:rsid w:val="00702973"/>
    <w:pPr/>
    <w:rPr/>
  </w:style>
  <w:style w:type="paragraph" w:styleId="NoSpacing">
    <w:name w:val="No Spacing"/>
    <w:uiPriority w:val="1"/>
    <w:qFormat/>
    <w:rsid w:val="00505046"/>
    <w:pPr>
      <w:widowControl/>
      <w:numPr>
        <w:ilvl w:val="0"/>
        <w:numId w:val="5"/>
      </w:numPr>
      <w:suppressAutoHyphens w:val="true"/>
      <w:bidi w:val="0"/>
      <w:spacing w:lineRule="auto" w:line="240" w:before="60" w:after="60"/>
      <w:jc w:val="left"/>
    </w:pPr>
    <w:rPr>
      <w:rFonts w:ascii="Arial" w:hAnsi="Arial" w:eastAsia="Calibri" w:cs="Arial" w:eastAsiaTheme="minorHAnsi"/>
      <w:b/>
      <w:color w:val="auto"/>
      <w:kern w:val="0"/>
      <w:sz w:val="24"/>
      <w:szCs w:val="24"/>
      <w:lang w:val="pl-PL" w:eastAsia="en-US" w:bidi="ar-SA"/>
    </w:rPr>
  </w:style>
  <w:style w:type="paragraph" w:styleId="ZPKTzmpktartykuempunktem" w:customStyle="1">
    <w:name w:val="Z/PKT – zm. pkt artykułem (punktem)"/>
    <w:basedOn w:val="Normal"/>
    <w:uiPriority w:val="31"/>
    <w:qFormat/>
    <w:rsid w:val="00702973"/>
    <w:pPr>
      <w:widowControl/>
      <w:spacing w:lineRule="auto" w:line="360"/>
      <w:ind w:hanging="510" w:left="1020"/>
      <w:jc w:val="both"/>
    </w:pPr>
    <w:rPr>
      <w:rFonts w:ascii="Times" w:hAnsi="Times"/>
      <w:bCs/>
      <w:sz w:val="24"/>
    </w:rPr>
  </w:style>
  <w:style w:type="paragraph" w:styleId="EndnoteText">
    <w:name w:val="Endnote Text"/>
    <w:basedOn w:val="Normal"/>
    <w:link w:val="TekstprzypisukocowegoZnak"/>
    <w:uiPriority w:val="99"/>
    <w:unhideWhenUsed/>
    <w:rsid w:val="00702973"/>
    <w:pPr/>
    <w:rPr/>
  </w:style>
  <w:style w:type="paragraph" w:styleId="BalloonText">
    <w:name w:val="Balloon Text"/>
    <w:basedOn w:val="Normal"/>
    <w:link w:val="TekstdymkaZnak"/>
    <w:uiPriority w:val="99"/>
    <w:semiHidden/>
    <w:unhideWhenUsed/>
    <w:qFormat/>
    <w:rsid w:val="00702973"/>
    <w:pPr/>
    <w:rPr>
      <w:rFonts w:ascii="Segoe UI" w:hAnsi="Segoe UI" w:cs="Segoe UI"/>
      <w:sz w:val="18"/>
      <w:szCs w:val="18"/>
    </w:rPr>
  </w:style>
  <w:style w:type="paragraph" w:styleId="AnnotationText">
    <w:name w:val="Annotation Text"/>
    <w:basedOn w:val="Normal"/>
    <w:link w:val="TekstkomentarzaZnak"/>
    <w:uiPriority w:val="99"/>
    <w:unhideWhenUsed/>
    <w:rsid w:val="00702973"/>
    <w:pPr/>
    <w:rPr/>
  </w:style>
  <w:style w:type="paragraph" w:styleId="annotationsubject">
    <w:name w:val="annotation subject"/>
    <w:basedOn w:val="AnnotationText"/>
    <w:next w:val="AnnotationText"/>
    <w:link w:val="TematkomentarzaZnak"/>
    <w:uiPriority w:val="99"/>
    <w:semiHidden/>
    <w:unhideWhenUsed/>
    <w:qFormat/>
    <w:rsid w:val="00702973"/>
    <w:pPr/>
    <w:rPr>
      <w:b/>
      <w:bCs/>
    </w:rPr>
  </w:style>
  <w:style w:type="paragraph" w:styleId="ListParagraph">
    <w:name w:val="List Paragraph"/>
    <w:basedOn w:val="Normal"/>
    <w:uiPriority w:val="34"/>
    <w:qFormat/>
    <w:rsid w:val="006604ef"/>
    <w:pPr>
      <w:ind w:left="720"/>
    </w:pPr>
    <w:rPr/>
  </w:style>
  <w:style w:type="paragraph" w:styleId="Revision">
    <w:name w:val="Revision"/>
    <w:uiPriority w:val="99"/>
    <w:semiHidden/>
    <w:qFormat/>
    <w:rsid w:val="00702973"/>
    <w:pPr>
      <w:widowControl/>
      <w:suppressAutoHyphens w:val="true"/>
      <w:bidi w:val="0"/>
      <w:spacing w:lineRule="auto" w:line="240" w:before="0" w:after="0"/>
      <w:jc w:val="left"/>
    </w:pPr>
    <w:rPr>
      <w:rFonts w:ascii="A" w:hAnsi="A" w:eastAsia="Times New Roman" w:cs="Times New Roman"/>
      <w:color w:val="auto"/>
      <w:kern w:val="0"/>
      <w:sz w:val="20"/>
      <w:szCs w:val="20"/>
      <w:lang w:val="pl-PL" w:eastAsia="pl-PL" w:bidi="ar-SA"/>
    </w:rPr>
  </w:style>
  <w:style w:type="paragraph" w:styleId="Nagwek10" w:customStyle="1">
    <w:name w:val="Nagłówek 10"/>
    <w:uiPriority w:val="11"/>
    <w:qFormat/>
    <w:rsid w:val="00d31f1a"/>
    <w:pPr>
      <w:widowControl/>
      <w:numPr>
        <w:ilvl w:val="0"/>
        <w:numId w:val="4"/>
      </w:numPr>
      <w:suppressAutoHyphens w:val="true"/>
      <w:bidi w:val="0"/>
      <w:spacing w:lineRule="auto" w:line="240" w:before="60" w:after="60"/>
      <w:jc w:val="left"/>
    </w:pPr>
    <w:rPr>
      <w:rFonts w:ascii="Arial" w:hAnsi="Arial" w:eastAsia="Times New Roman" w:cs="Arial"/>
      <w:b/>
      <w:color w:val="auto"/>
      <w:kern w:val="0"/>
      <w:sz w:val="24"/>
      <w:szCs w:val="24"/>
      <w:lang w:val="pl-PL" w:eastAsia="pl-PL" w:bidi="ar-SA"/>
    </w:rPr>
  </w:style>
  <w:style w:type="paragraph" w:styleId="DATAAKTUdatauchwalenialubwydaniaaktu" w:customStyle="1">
    <w:name w:val="DATA_AKTU – data uchwalenia lub wydania aktu"/>
    <w:next w:val="TYTUAKTUprzedmiotregulacjiustawylubrozporzdzenia"/>
    <w:uiPriority w:val="6"/>
    <w:qFormat/>
    <w:rsid w:val="00702973"/>
    <w:pPr>
      <w:keepNext w:val="true"/>
      <w:widowControl/>
      <w:suppressAutoHyphens w:val="true"/>
      <w:bidi w:val="0"/>
      <w:spacing w:lineRule="auto" w:line="360" w:before="120" w:after="120"/>
      <w:jc w:val="center"/>
    </w:pPr>
    <w:rPr>
      <w:rFonts w:ascii="Times" w:hAnsi="Times" w:eastAsia="Times New Roman" w:cs="Arial"/>
      <w:bCs/>
      <w:color w:val="auto"/>
      <w:kern w:val="0"/>
      <w:sz w:val="24"/>
      <w:szCs w:val="24"/>
      <w:lang w:val="pl-PL" w:eastAsia="pl-PL" w:bidi="ar-SA"/>
    </w:rPr>
  </w:style>
  <w:style w:type="paragraph" w:styleId="TYTUAKTUprzedmiotregulacjiustawylubrozporzdzenia" w:customStyle="1">
    <w:name w:val="TYTUŁ_AKTU – przedmiot regulacji ustawy lub rozporządzenia"/>
    <w:next w:val="Nagwek10"/>
    <w:uiPriority w:val="6"/>
    <w:qFormat/>
    <w:rsid w:val="00702973"/>
    <w:pPr>
      <w:keepNext w:val="true"/>
      <w:widowControl/>
      <w:suppressAutoHyphens w:val="true"/>
      <w:bidi w:val="0"/>
      <w:spacing w:lineRule="auto" w:line="360" w:before="120" w:after="360"/>
      <w:jc w:val="center"/>
    </w:pPr>
    <w:rPr>
      <w:rFonts w:ascii="Times" w:hAnsi="Times" w:eastAsia="Times New Roman" w:cs="Arial"/>
      <w:b/>
      <w:bCs/>
      <w:color w:val="auto"/>
      <w:kern w:val="0"/>
      <w:sz w:val="24"/>
      <w:szCs w:val="24"/>
      <w:lang w:val="pl-PL" w:eastAsia="pl-PL" w:bidi="ar-SA"/>
    </w:rPr>
  </w:style>
  <w:style w:type="paragraph" w:styleId="NIEARTTEKSTtekstnieartykuowanynppodstprawnarozplubpreambua" w:customStyle="1">
    <w:name w:val="NIEART_TEKST – tekst nieartykułowany (np. podst. prawna rozp. lub preambuła)"/>
    <w:basedOn w:val="Nagwek10"/>
    <w:next w:val="Nagwek10"/>
    <w:uiPriority w:val="7"/>
    <w:qFormat/>
    <w:rsid w:val="00702973"/>
    <w:pPr/>
    <w:rPr>
      <w:bCs/>
    </w:rPr>
  </w:style>
  <w:style w:type="paragraph" w:styleId="OZNRODZAKTUtznustawalubrozporzdzenieiorganwydajcy" w:customStyle="1">
    <w:name w:val="OZN_RODZ_AKTU – tzn. ustawa lub rozporządzenie i organ wydający"/>
    <w:basedOn w:val="NoSpacing"/>
    <w:next w:val="DATAAKTUdatauchwalenialubwydaniaaktu"/>
    <w:uiPriority w:val="5"/>
    <w:qFormat/>
    <w:rsid w:val="00974416"/>
    <w:pPr>
      <w:ind w:hanging="431" w:left="431"/>
    </w:pPr>
    <w:rPr>
      <w:b w:val="false"/>
    </w:rPr>
  </w:style>
  <w:style w:type="paragraph" w:styleId="ODNONIKtreodnonika" w:customStyle="1">
    <w:name w:val="ODNOŚNIK – treść odnośnika"/>
    <w:basedOn w:val="Normal"/>
    <w:uiPriority w:val="19"/>
    <w:qFormat/>
    <w:rsid w:val="00f41e38"/>
    <w:pPr/>
    <w:rPr>
      <w:bCs/>
      <w:sz w:val="16"/>
    </w:rPr>
  </w:style>
  <w:style w:type="paragraph" w:styleId="NAZORGWYDnazwaorganuwydajcegoprojektowanyakt" w:customStyle="1">
    <w:name w:val="NAZ_ORG_WYD – nazwa organu wydającego projektowany akt"/>
    <w:basedOn w:val="OZNRODZAKTUtznustawalubrozporzdzenieiorganwydajcy"/>
    <w:uiPriority w:val="27"/>
    <w:qFormat/>
    <w:rsid w:val="00702973"/>
    <w:pPr>
      <w:ind w:left="4820"/>
    </w:pPr>
    <w:rPr/>
  </w:style>
  <w:style w:type="paragraph" w:styleId="TEKSTZacznikido" w:customStyle="1">
    <w:name w:val="TEKST&quot;Załącznik(i) do ...&quot;"/>
    <w:uiPriority w:val="28"/>
    <w:qFormat/>
    <w:rsid w:val="00e5559b"/>
    <w:pPr>
      <w:keepNext w:val="true"/>
      <w:widowControl/>
      <w:suppressAutoHyphens w:val="true"/>
      <w:bidi w:val="0"/>
      <w:spacing w:lineRule="auto" w:line="240" w:before="0" w:after="240"/>
      <w:ind w:left="5670"/>
      <w:contextualSpacing/>
      <w:jc w:val="left"/>
    </w:pPr>
    <w:rPr>
      <w:rFonts w:ascii="Times New Roman" w:hAnsi="Times New Roman" w:eastAsia="" w:cs="Arial" w:eastAsiaTheme="minorEastAsia"/>
      <w:color w:val="auto"/>
      <w:kern w:val="0"/>
      <w:sz w:val="24"/>
      <w:szCs w:val="20"/>
      <w:lang w:val="pl-PL" w:eastAsia="pl-PL" w:bidi="ar-SA"/>
    </w:rPr>
  </w:style>
  <w:style w:type="paragraph" w:styleId="ARTartustawynprozporzdzenia" w:customStyle="1">
    <w:name w:val="ART(§) – art. ustawy (§ np. rozporządzenia)"/>
    <w:uiPriority w:val="11"/>
    <w:qFormat/>
    <w:rsid w:val="00117887"/>
    <w:pPr>
      <w:widowControl/>
      <w:suppressAutoHyphens w:val="true"/>
      <w:bidi w:val="0"/>
      <w:spacing w:lineRule="auto" w:line="360" w:before="120" w:after="0"/>
      <w:ind w:firstLine="510"/>
      <w:jc w:val="both"/>
    </w:pPr>
    <w:rPr>
      <w:rFonts w:ascii="Times" w:hAnsi="Times" w:eastAsia="" w:cs="Arial" w:eastAsiaTheme="minorEastAsia"/>
      <w:color w:val="auto"/>
      <w:kern w:val="0"/>
      <w:sz w:val="24"/>
      <w:szCs w:val="20"/>
      <w:lang w:val="pl-PL" w:eastAsia="pl-PL" w:bidi="ar-SA"/>
    </w:rPr>
  </w:style>
  <w:style w:type="paragraph" w:styleId="OZNPROJEKTUwskazaniedatylubwersjiprojektu" w:customStyle="1">
    <w:name w:val="OZN_PROJEKTU – wskazanie daty lub wersji projektu"/>
    <w:next w:val="OZNRODZAKTUtznustawalubrozporzdzenieiorganwydajcy"/>
    <w:uiPriority w:val="5"/>
    <w:qFormat/>
    <w:rsid w:val="00117887"/>
    <w:pPr>
      <w:widowControl/>
      <w:suppressAutoHyphens w:val="true"/>
      <w:bidi w:val="0"/>
      <w:spacing w:lineRule="auto" w:line="360" w:before="0" w:after="0"/>
      <w:jc w:val="right"/>
    </w:pPr>
    <w:rPr>
      <w:rFonts w:ascii="Times New Roman" w:hAnsi="Times New Roman" w:eastAsia="" w:cs="Arial" w:eastAsiaTheme="minorEastAsia"/>
      <w:color w:val="auto"/>
      <w:kern w:val="0"/>
      <w:sz w:val="24"/>
      <w:szCs w:val="20"/>
      <w:u w:val="single"/>
      <w:lang w:val="pl-PL" w:eastAsia="pl-PL" w:bidi="ar-SA"/>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59"/>
    <w:rsid w:val="00702973"/>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Standardowy"/>
    <w:uiPriority w:val="59"/>
    <w:rsid w:val="00702973"/>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Zwykatabela11">
    <w:name w:val="Zwykła tabela 11"/>
    <w:basedOn w:val="Standardowy"/>
    <w:uiPriority w:val="59"/>
    <w:rsid w:val="00702973"/>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FFFFF" w:fill="F2F2F2" w:themeFill="text1" w:themeFillTint="d"/>
      </w:tcPr>
    </w:tblStylePr>
    <w:tblStylePr w:type="band1Horz">
      <w:tblPr/>
      <w:tcPr>
        <w:shd w:val="clear" w:color="FFFFFF" w:fill="F2F2F2" w:themeFill="text1" w:themeFillTint="d"/>
      </w:tcPr>
    </w:tblStylePr>
  </w:style>
  <w:style w:type="table" w:customStyle="1" w:styleId="Zwykatabela21">
    <w:name w:val="Zwykła tabela 21"/>
    <w:basedOn w:val="Standardowy"/>
    <w:uiPriority w:val="59"/>
    <w:rsid w:val="00702973"/>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Zwykatabela31">
    <w:name w:val="Zwykła tabela 31"/>
    <w:basedOn w:val="Standardowy"/>
    <w:uiPriority w:val="99"/>
    <w:rsid w:val="00702973"/>
    <w:pPr>
      <w:spacing w:after="0" w:line="240" w:lineRule="auto"/>
    </w:pPr>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FFFFF" w:fill="F2F2F2" w:themeFill="text1" w:themeFillTint="d"/>
      </w:tcPr>
    </w:tblStylePr>
    <w:tblStylePr w:type="band1Horz">
      <w:rPr>
        <w:sz w:val="22"/>
      </w:rPr>
      <w:tblPr/>
      <w:tcPr>
        <w:shd w:val="clear" w:color="FFFFFF" w:fill="F2F2F2" w:themeFill="text1" w:themeFillTint="d"/>
      </w:tcPr>
    </w:tblStylePr>
  </w:style>
  <w:style w:type="table" w:customStyle="1" w:styleId="Zwykatabela41">
    <w:name w:val="Zwykła tabela 41"/>
    <w:basedOn w:val="Standardowy"/>
    <w:uiPriority w:val="99"/>
    <w:rsid w:val="00702973"/>
    <w:pPr>
      <w:spacing w:after="0" w:line="240" w:lineRule="auto"/>
    </w:pPr>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F2F2F2" w:themeFill="text1" w:themeFillTint="d"/>
      </w:tcPr>
    </w:tblStylePr>
    <w:tblStylePr w:type="band1Horz">
      <w:rPr>
        <w:sz w:val="22"/>
      </w:rPr>
      <w:tblPr/>
      <w:tcPr>
        <w:shd w:val="clear" w:color="FFFFFF" w:fill="F2F2F2" w:themeFill="text1" w:themeFillTint="d"/>
      </w:tcPr>
    </w:tblStylePr>
  </w:style>
  <w:style w:type="table" w:customStyle="1" w:styleId="Zwykatabela51">
    <w:name w:val="Zwykła tabela 51"/>
    <w:basedOn w:val="Standardowy"/>
    <w:uiPriority w:val="99"/>
    <w:rsid w:val="00702973"/>
    <w:pPr>
      <w:spacing w:after="0" w:line="240" w:lineRule="auto"/>
    </w:pPr>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FFFFFF"/>
      </w:tcPr>
    </w:tblStylePr>
    <w:tblStylePr w:type="lastRow">
      <w:rPr>
        <w:i/>
      </w:rPr>
      <w:tblPr/>
      <w:tcPr>
        <w:tcBorders>
          <w:top w:val="single" w:color="404040" w:sz="4" w:space="0"/>
          <w:left w:val="none" w:color="000000" w:sz="4" w:space="0"/>
          <w:right w:val="none" w:color="000000" w:sz="4" w:space="0"/>
        </w:tcBorders>
        <w:shd w:val="clear" w:color="FFFFFF" w:fill="FFFFFF"/>
      </w:tcPr>
    </w:tblStylePr>
    <w:tblStylePr w:type="firstCol">
      <w:pPr>
        <w:jc w:val="right"/>
      </w:pPr>
      <w:rPr>
        <w:i/>
      </w:rPr>
      <w:tblPr/>
      <w:tcPr>
        <w:tcBorders>
          <w:right w:val="single" w:color="404040" w:sz="4" w:space="0"/>
        </w:tcBorders>
        <w:shd w:val="clear" w:color="FFFFFF" w:fill="FFFFFF"/>
      </w:tcPr>
    </w:tblStylePr>
    <w:tblStylePr w:type="lastCol">
      <w:rPr>
        <w:i/>
      </w:rPr>
      <w:tblPr/>
      <w:tcPr>
        <w:tcBorders>
          <w:left w:val="single" w:color="404040" w:sz="4" w:space="0"/>
        </w:tcBorders>
        <w:shd w:val="clear" w:color="FFFFFF" w:fill="FFFFFF"/>
      </w:tcPr>
    </w:tblStylePr>
    <w:tblStylePr w:type="band1Vert">
      <w:rPr>
        <w:sz w:val="22"/>
      </w:rPr>
      <w:tblPr/>
      <w:tcPr>
        <w:shd w:val="clear" w:color="FFFFFF" w:fill="F2F2F2" w:themeFill="text1" w:themeFillTint="d"/>
      </w:tcPr>
    </w:tblStylePr>
    <w:tblStylePr w:type="band1Horz">
      <w:rPr>
        <w:sz w:val="22"/>
      </w:rPr>
      <w:tblPr/>
      <w:tcPr>
        <w:shd w:val="clear" w:color="FFFFFF" w:fill="F2F2F2" w:themeFill="text1" w:themeFillTint="d"/>
      </w:tcPr>
    </w:tblStylePr>
  </w:style>
  <w:style w:type="table" w:customStyle="1" w:styleId="Tabelasiatki1jasna1">
    <w:name w:val="Tabela siatki 1 — jasna1"/>
    <w:basedOn w:val="Standardowy"/>
    <w:uiPriority w:val="99"/>
    <w:rsid w:val="00702973"/>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Standardowy"/>
    <w:uiPriority w:val="99"/>
    <w:rsid w:val="00702973"/>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Standardowy"/>
    <w:uiPriority w:val="99"/>
    <w:rsid w:val="00702973"/>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Standardowy"/>
    <w:uiPriority w:val="99"/>
    <w:rsid w:val="00702973"/>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Standardowy"/>
    <w:uiPriority w:val="99"/>
    <w:rsid w:val="00702973"/>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Standardowy"/>
    <w:uiPriority w:val="99"/>
    <w:rsid w:val="00702973"/>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Standardowy"/>
    <w:uiPriority w:val="99"/>
    <w:rsid w:val="00702973"/>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Tabelasiatki21">
    <w:name w:val="Tabela siatki 21"/>
    <w:basedOn w:val="Standardowy"/>
    <w:uiPriority w:val="99"/>
    <w:rsid w:val="00702973"/>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FFFFFF"/>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FFFFFF"/>
      </w:tcPr>
    </w:tblStylePr>
    <w:tblStylePr w:type="firstCol">
      <w:rPr>
        <w:b/>
      </w:rPr>
      <w:tblPr/>
    </w:tblStylePr>
    <w:tblStylePr w:type="lastCol">
      <w:rPr>
        <w:b/>
      </w:rPr>
      <w:tbl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Standardowy"/>
    <w:uiPriority w:val="99"/>
    <w:rsid w:val="00702973"/>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FFFFFF"/>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FFFFFF"/>
      </w:tcPr>
    </w:tblStylePr>
    <w:tblStylePr w:type="firstCol">
      <w:rPr>
        <w:b/>
      </w:rPr>
      <w:tblPr/>
    </w:tblStylePr>
    <w:tblStylePr w:type="lastCol">
      <w:rPr>
        <w:b/>
      </w:rPr>
      <w:tbl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2-Accent2">
    <w:name w:val="Grid Table 2 - Accent 2"/>
    <w:basedOn w:val="Standardowy"/>
    <w:uiPriority w:val="99"/>
    <w:rsid w:val="00702973"/>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FFFFFF"/>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FFFFFF"/>
      </w:tcPr>
    </w:tblStylePr>
    <w:tblStylePr w:type="firstCol">
      <w:rPr>
        <w:b/>
      </w:rPr>
      <w:tblPr/>
    </w:tblStylePr>
    <w:tblStylePr w:type="lastCol">
      <w:rPr>
        <w:b/>
      </w:rPr>
      <w:tbl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2-Accent3">
    <w:name w:val="Grid Table 2 - Accent 3"/>
    <w:basedOn w:val="Standardowy"/>
    <w:uiPriority w:val="99"/>
    <w:rsid w:val="00702973"/>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FFFFFF"/>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FFFFFF"/>
      </w:tcPr>
    </w:tblStylePr>
    <w:tblStylePr w:type="firstCol">
      <w:rPr>
        <w:b/>
      </w:rPr>
      <w:tblPr/>
    </w:tblStylePr>
    <w:tblStylePr w:type="lastCol">
      <w:rPr>
        <w:b/>
      </w:rPr>
      <w:tbl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2-Accent4">
    <w:name w:val="Grid Table 2 - Accent 4"/>
    <w:basedOn w:val="Standardowy"/>
    <w:uiPriority w:val="99"/>
    <w:rsid w:val="00702973"/>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FFFFFF"/>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FFFFFF"/>
      </w:tcPr>
    </w:tblStylePr>
    <w:tblStylePr w:type="firstCol">
      <w:rPr>
        <w:b/>
      </w:rPr>
      <w:tblPr/>
    </w:tblStylePr>
    <w:tblStylePr w:type="lastCol">
      <w:rPr>
        <w:b/>
      </w:rPr>
      <w:tbl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2-Accent5">
    <w:name w:val="Grid Table 2 - Accent 5"/>
    <w:basedOn w:val="Standardowy"/>
    <w:uiPriority w:val="99"/>
    <w:rsid w:val="00702973"/>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FFFFFF"/>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FFFFFF"/>
      </w:tcPr>
    </w:tblStylePr>
    <w:tblStylePr w:type="firstCol">
      <w:rPr>
        <w:b/>
      </w:rPr>
      <w:tblPr/>
    </w:tblStylePr>
    <w:tblStylePr w:type="lastCol">
      <w:rPr>
        <w:b/>
      </w:rPr>
      <w:tbl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2-Accent6">
    <w:name w:val="Grid Table 2 - Accent 6"/>
    <w:basedOn w:val="Standardowy"/>
    <w:uiPriority w:val="99"/>
    <w:rsid w:val="00702973"/>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FFFFFF"/>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FFFFFF"/>
      </w:tcPr>
    </w:tblStylePr>
    <w:tblStylePr w:type="firstCol">
      <w:rPr>
        <w:b/>
      </w:rPr>
      <w:tblPr/>
    </w:tblStylePr>
    <w:tblStylePr w:type="lastCol">
      <w:rPr>
        <w:b/>
      </w:rPr>
      <w:tbl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Tabelasiatki31">
    <w:name w:val="Tabela siatki 31"/>
    <w:basedOn w:val="Standardowy"/>
    <w:uiPriority w:val="99"/>
    <w:rsid w:val="00702973"/>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Standardowy"/>
    <w:uiPriority w:val="99"/>
    <w:rsid w:val="00702973"/>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3-Accent2">
    <w:name w:val="Grid Table 3 - Accent 2"/>
    <w:basedOn w:val="Standardowy"/>
    <w:uiPriority w:val="99"/>
    <w:rsid w:val="00702973"/>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3-Accent3">
    <w:name w:val="Grid Table 3 - Accent 3"/>
    <w:basedOn w:val="Standardowy"/>
    <w:uiPriority w:val="99"/>
    <w:rsid w:val="00702973"/>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3-Accent4">
    <w:name w:val="Grid Table 3 - Accent 4"/>
    <w:basedOn w:val="Standardowy"/>
    <w:uiPriority w:val="99"/>
    <w:rsid w:val="00702973"/>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3-Accent5">
    <w:name w:val="Grid Table 3 - Accent 5"/>
    <w:basedOn w:val="Standardowy"/>
    <w:uiPriority w:val="99"/>
    <w:rsid w:val="00702973"/>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3-Accent6">
    <w:name w:val="Grid Table 3 - Accent 6"/>
    <w:basedOn w:val="Standardowy"/>
    <w:uiPriority w:val="99"/>
    <w:rsid w:val="00702973"/>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Tabelasiatki41">
    <w:name w:val="Tabela siatki 41"/>
    <w:basedOn w:val="Standardowy"/>
    <w:uiPriority w:val="59"/>
    <w:rsid w:val="00702973"/>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Standardowy"/>
    <w:uiPriority w:val="59"/>
    <w:rsid w:val="00702973"/>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FFFFFF"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FFFFFF" w:fill="DCE6F2" w:themeFill="accent1" w:themeFillTint="32"/>
      </w:tcPr>
    </w:tblStylePr>
    <w:tblStylePr w:type="band1Horz">
      <w:rPr>
        <w:sz w:val="22"/>
      </w:rPr>
      <w:tblPr/>
      <w:tcPr>
        <w:shd w:val="clear" w:color="FFFFFF" w:fill="DCE6F2" w:themeFill="accent1" w:themeFillTint="32"/>
      </w:tcPr>
    </w:tblStylePr>
  </w:style>
  <w:style w:type="table" w:customStyle="1" w:styleId="GridTable4-Accent2">
    <w:name w:val="Grid Table 4 - Accent 2"/>
    <w:basedOn w:val="Standardowy"/>
    <w:uiPriority w:val="59"/>
    <w:rsid w:val="00702973"/>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FFFFFF"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4-Accent3">
    <w:name w:val="Grid Table 4 - Accent 3"/>
    <w:basedOn w:val="Standardowy"/>
    <w:uiPriority w:val="59"/>
    <w:rsid w:val="00702973"/>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FFFFFF"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4-Accent4">
    <w:name w:val="Grid Table 4 - Accent 4"/>
    <w:basedOn w:val="Standardowy"/>
    <w:uiPriority w:val="59"/>
    <w:rsid w:val="00702973"/>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FFFFFF"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4-Accent5">
    <w:name w:val="Grid Table 4 - Accent 5"/>
    <w:basedOn w:val="Standardowy"/>
    <w:uiPriority w:val="59"/>
    <w:rsid w:val="00702973"/>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FFFFFF"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4-Accent6">
    <w:name w:val="Grid Table 4 - Accent 6"/>
    <w:basedOn w:val="Standardowy"/>
    <w:uiPriority w:val="59"/>
    <w:rsid w:val="00702973"/>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FFFFF"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Tabelasiatki5ciemna1">
    <w:name w:val="Tabela siatki 5 — ciemna1"/>
    <w:basedOn w:val="Standardowy"/>
    <w:uiPriority w:val="99"/>
    <w:rsid w:val="00702973"/>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FFFF" w:fill="000000" w:themeFill="text1"/>
      </w:tcPr>
    </w:tblStylePr>
    <w:tblStylePr w:type="lastRow">
      <w:rPr>
        <w:b/>
        <w:sz w:val="22"/>
      </w:rPr>
      <w:tblPr/>
      <w:tcPr>
        <w:tcBorders>
          <w:top w:val="single" w:color="FFFFFF" w:themeColor="light1" w:sz="4" w:space="0"/>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Standardowy"/>
    <w:uiPriority w:val="99"/>
    <w:rsid w:val="00702973"/>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FFFF" w:fill="4F81BD" w:themeFill="accent1"/>
      </w:tcPr>
    </w:tblStylePr>
    <w:tblStylePr w:type="lastRow">
      <w:rPr>
        <w:b/>
        <w:sz w:val="22"/>
      </w:rPr>
      <w:tblPr/>
      <w:tcPr>
        <w:tcBorders>
          <w:top w:val="single" w:color="FFFFFF" w:themeColor="light1" w:sz="4" w:space="0"/>
        </w:tcBorders>
        <w:shd w:val="clear" w:color="FFFFFF" w:fill="4F81BD" w:themeFill="accent1"/>
      </w:tcPr>
    </w:tblStylePr>
    <w:tblStylePr w:type="firstCol">
      <w:rPr>
        <w:b/>
        <w:sz w:val="22"/>
      </w:rPr>
      <w:tblPr/>
      <w:tcPr>
        <w:shd w:val="clear" w:color="FFFFFF" w:fill="4F81BD" w:themeFill="accent1"/>
      </w:tcPr>
    </w:tblStylePr>
    <w:tblStylePr w:type="lastCol">
      <w:rPr>
        <w:b/>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Standardowy"/>
    <w:uiPriority w:val="99"/>
    <w:rsid w:val="00702973"/>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FFFF" w:fill="C0504D" w:themeFill="accent2"/>
      </w:tcPr>
    </w:tblStylePr>
    <w:tblStylePr w:type="lastRow">
      <w:rPr>
        <w:b/>
        <w:sz w:val="22"/>
      </w:rPr>
      <w:tblPr/>
      <w:tcPr>
        <w:tcBorders>
          <w:top w:val="single" w:color="FFFFFF" w:themeColor="light1" w:sz="4" w:space="0"/>
        </w:tcBorders>
        <w:shd w:val="clear" w:color="FFFFFF" w:fill="C0504D" w:themeFill="accent2"/>
      </w:tcPr>
    </w:tblStylePr>
    <w:tblStylePr w:type="firstCol">
      <w:rPr>
        <w:b/>
        <w:sz w:val="22"/>
      </w:rPr>
      <w:tblPr/>
      <w:tcPr>
        <w:shd w:val="clear" w:color="FFFFFF" w:fill="C0504D" w:themeFill="accent2"/>
      </w:tcPr>
    </w:tblStylePr>
    <w:tblStylePr w:type="lastCol">
      <w:rPr>
        <w:b/>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Standardowy"/>
    <w:uiPriority w:val="99"/>
    <w:rsid w:val="00702973"/>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FFFF" w:fill="9BBB59" w:themeFill="accent3"/>
      </w:tcPr>
    </w:tblStylePr>
    <w:tblStylePr w:type="lastRow">
      <w:rPr>
        <w:b/>
        <w:sz w:val="22"/>
      </w:rPr>
      <w:tblPr/>
      <w:tcPr>
        <w:tcBorders>
          <w:top w:val="single" w:color="FFFFFF" w:themeColor="light1" w:sz="4" w:space="0"/>
        </w:tcBorders>
        <w:shd w:val="clear" w:color="FFFFFF" w:fill="9BBB59" w:themeFill="accent3"/>
      </w:tcPr>
    </w:tblStylePr>
    <w:tblStylePr w:type="firstCol">
      <w:rPr>
        <w:b/>
        <w:sz w:val="22"/>
      </w:rPr>
      <w:tblPr/>
      <w:tcPr>
        <w:shd w:val="clear" w:color="FFFFFF" w:fill="9BBB59" w:themeFill="accent3"/>
      </w:tcPr>
    </w:tblStylePr>
    <w:tblStylePr w:type="lastCol">
      <w:rPr>
        <w:b/>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Standardowy"/>
    <w:uiPriority w:val="99"/>
    <w:rsid w:val="00702973"/>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FFFF" w:fill="8064A2" w:themeFill="accent4"/>
      </w:tcPr>
    </w:tblStylePr>
    <w:tblStylePr w:type="lastRow">
      <w:rPr>
        <w:b/>
        <w:sz w:val="22"/>
      </w:rPr>
      <w:tblPr/>
      <w:tcPr>
        <w:tcBorders>
          <w:top w:val="single" w:color="FFFFFF" w:themeColor="light1" w:sz="4" w:space="0"/>
        </w:tcBorders>
        <w:shd w:val="clear" w:color="FFFFFF" w:fill="8064A2" w:themeFill="accent4"/>
      </w:tcPr>
    </w:tblStylePr>
    <w:tblStylePr w:type="firstCol">
      <w:rPr>
        <w:b/>
        <w:sz w:val="22"/>
      </w:rPr>
      <w:tblPr/>
      <w:tcPr>
        <w:shd w:val="clear" w:color="FFFFFF" w:fill="8064A2" w:themeFill="accent4"/>
      </w:tcPr>
    </w:tblStylePr>
    <w:tblStylePr w:type="lastCol">
      <w:rPr>
        <w:b/>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Standardowy"/>
    <w:uiPriority w:val="99"/>
    <w:rsid w:val="00702973"/>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FFFF" w:fill="4BACC6" w:themeFill="accent5"/>
      </w:tcPr>
    </w:tblStylePr>
    <w:tblStylePr w:type="lastRow">
      <w:rPr>
        <w:b/>
        <w:sz w:val="22"/>
      </w:rPr>
      <w:tblPr/>
      <w:tcPr>
        <w:tcBorders>
          <w:top w:val="single" w:color="FFFFFF" w:themeColor="light1" w:sz="4" w:space="0"/>
        </w:tcBorders>
        <w:shd w:val="clear" w:color="FFFFFF" w:fill="4BACC6" w:themeFill="accent5"/>
      </w:tcPr>
    </w:tblStylePr>
    <w:tblStylePr w:type="firstCol">
      <w:rPr>
        <w:b/>
        <w:sz w:val="22"/>
      </w:rPr>
      <w:tblPr/>
      <w:tcPr>
        <w:shd w:val="clear" w:color="FFFFFF" w:fill="4BACC6" w:themeFill="accent5"/>
      </w:tcPr>
    </w:tblStylePr>
    <w:tblStylePr w:type="lastCol">
      <w:rPr>
        <w:b/>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Standardowy"/>
    <w:uiPriority w:val="99"/>
    <w:rsid w:val="00702973"/>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FFFF" w:fill="F79646" w:themeFill="accent6"/>
      </w:tcPr>
    </w:tblStylePr>
    <w:tblStylePr w:type="lastRow">
      <w:rPr>
        <w:b/>
        <w:sz w:val="22"/>
      </w:rPr>
      <w:tblPr/>
      <w:tcPr>
        <w:tcBorders>
          <w:top w:val="single" w:color="FFFFFF" w:themeColor="light1" w:sz="4" w:space="0"/>
        </w:tcBorders>
        <w:shd w:val="clear" w:color="FFFFFF" w:fill="F79646" w:themeFill="accent6"/>
      </w:tcPr>
    </w:tblStylePr>
    <w:tblStylePr w:type="firstCol">
      <w:rPr>
        <w:b/>
        <w:sz w:val="22"/>
      </w:rPr>
      <w:tblPr/>
      <w:tcPr>
        <w:shd w:val="clear" w:color="FFFFFF" w:fill="F79646" w:themeFill="accent6"/>
      </w:tcPr>
    </w:tblStylePr>
    <w:tblStylePr w:type="lastCol">
      <w:rPr>
        <w:b/>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Tabelasiatki6kolorowa1">
    <w:name w:val="Tabela siatki 6 — kolorowa1"/>
    <w:basedOn w:val="Standardowy"/>
    <w:uiPriority w:val="99"/>
    <w:rsid w:val="00702973"/>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FFFFFF" w:fill="CBCBCB" w:themeFill="text1" w:themeFillTint="34"/>
      </w:tcPr>
    </w:tblStylePr>
    <w:tblStylePr w:type="band1Horz">
      <w:rPr>
        <w:color w:themeColor="text1" w:themeTint="80" w:themeShade="95"/>
        <w:sz w:val="22"/>
      </w:rPr>
      <w:tblPr/>
      <w:tcPr>
        <w:shd w:val="clear" w:color="FFFFFF"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Standardowy"/>
    <w:uiPriority w:val="99"/>
    <w:rsid w:val="00702973"/>
    <w:pPr>
      <w:spacing w:after="0" w:line="240" w:lineRule="auto"/>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FFFFFF" w:fill="DAE5F1" w:themeFill="accent1" w:themeFillTint="34"/>
      </w:tcPr>
    </w:tblStylePr>
    <w:tblStylePr w:type="band1Horz">
      <w:rPr>
        <w:color w:themeColor="accent1" w:themeTint="80" w:themeShade="95"/>
        <w:sz w:val="22"/>
      </w:rPr>
      <w:tblPr/>
      <w:tcPr>
        <w:shd w:val="clear" w:color="FFFFFF"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Standardowy"/>
    <w:uiPriority w:val="99"/>
    <w:rsid w:val="00702973"/>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FFFFF" w:fill="F2DCDC" w:themeFill="accent2" w:themeFillTint="32"/>
      </w:tcPr>
    </w:tblStylePr>
    <w:tblStylePr w:type="band1Horz">
      <w:rPr>
        <w:color w:themeColor="accent2" w:themeTint="97" w:themeShade="95"/>
        <w:sz w:val="22"/>
      </w:rPr>
      <w:tblPr/>
      <w:tcPr>
        <w:shd w:val="clear" w:color="FFFFFF"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Standardowy"/>
    <w:uiPriority w:val="99"/>
    <w:rsid w:val="00702973"/>
    <w:pPr>
      <w:spacing w:after="0" w:line="240" w:lineRule="auto"/>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FFFFFF" w:fill="EAF1DC" w:themeFill="accent3" w:themeFillTint="34"/>
      </w:tcPr>
    </w:tblStylePr>
    <w:tblStylePr w:type="band1Horz">
      <w:rPr>
        <w:color w:themeColor="accent3" w:themeTint="fe" w:themeShade="95"/>
        <w:sz w:val="22"/>
      </w:rPr>
      <w:tblPr/>
      <w:tcPr>
        <w:shd w:val="clear" w:color="FFFFFF"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Standardowy"/>
    <w:uiPriority w:val="99"/>
    <w:rsid w:val="00702973"/>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FFFFFF" w:fill="E5DFEC" w:themeFill="accent4" w:themeFillTint="34"/>
      </w:tcPr>
    </w:tblStylePr>
    <w:tblStylePr w:type="band1Horz">
      <w:rPr>
        <w:color w:themeColor="accent4" w:themeTint="9a" w:themeShade="95"/>
        <w:sz w:val="22"/>
      </w:rPr>
      <w:tblPr/>
      <w:tcPr>
        <w:shd w:val="clear" w:color="FFFFFF"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Standardowy"/>
    <w:uiPriority w:val="99"/>
    <w:rsid w:val="00702973"/>
    <w:pPr>
      <w:spacing w:after="0"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FFFFF" w:fill="DAEEF3" w:themeFill="accent5" w:themeFillTint="34"/>
      </w:tcPr>
    </w:tblStylePr>
    <w:tblStylePr w:type="band1Horz">
      <w:rPr>
        <w:color w:themeColor="accent5" w:themeShade="95"/>
        <w:sz w:val="22"/>
      </w:rPr>
      <w:tblPr/>
      <w:tcPr>
        <w:shd w:val="clear" w:color="FFFFFF"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Standardowy"/>
    <w:uiPriority w:val="99"/>
    <w:rsid w:val="00702973"/>
    <w:pPr>
      <w:spacing w:after="0"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FFFFF" w:fill="FDE9D8" w:themeFill="accent6" w:themeFillTint="34"/>
      </w:tcPr>
    </w:tblStylePr>
    <w:tblStylePr w:type="band1Horz">
      <w:rPr>
        <w:color w:themeColor="accent5" w:themeShade="95"/>
        <w:sz w:val="22"/>
      </w:rPr>
      <w:tblPr/>
      <w:tcPr>
        <w:shd w:val="clear" w:color="FFFFFF" w:fill="FDE9D8" w:themeFill="accent6" w:themeFillTint="34"/>
      </w:tcPr>
    </w:tblStylePr>
    <w:tblStylePr w:type="band2Horz">
      <w:rPr>
        <w:color w:themeColor="accent5" w:themeShade="95"/>
        <w:sz w:val="22"/>
      </w:rPr>
      <w:tblPr/>
    </w:tblStylePr>
  </w:style>
  <w:style w:type="table" w:customStyle="1" w:styleId="Tabelasiatki7kolorowa1">
    <w:name w:val="Tabela siatki 7 — kolorowa1"/>
    <w:basedOn w:val="Standardowy"/>
    <w:uiPriority w:val="99"/>
    <w:rsid w:val="00702973"/>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FFFFFF"/>
      </w:tcPr>
    </w:tblStylePr>
    <w:tblStylePr w:type="lastCol">
      <w:rPr>
        <w:i/>
        <w:color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FFFFFF"/>
      </w:tcPr>
    </w:tblStylePr>
    <w:tblStylePr w:type="band1Vert">
      <w:tblPr/>
      <w:tcPr>
        <w:shd w:val="clear" w:color="FFFFFF" w:fill="F2F2F2" w:themeFill="text1" w:themeFillTint="d"/>
      </w:tcPr>
    </w:tblStylePr>
    <w:tblStylePr w:type="band1Horz">
      <w:rPr>
        <w:color w:themeColor="text1" w:themeTint="80" w:themeShade="95"/>
        <w:sz w:val="22"/>
      </w:rPr>
      <w:tblPr/>
      <w:tcPr>
        <w:shd w:val="clear" w:color="FFFFFF"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Standardowy"/>
    <w:uiPriority w:val="99"/>
    <w:rsid w:val="00702973"/>
    <w:pPr>
      <w:spacing w:after="0" w:line="240" w:lineRule="auto"/>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auto" w:sz="0" w:space="0"/>
          <w:left w:val="none" w:color="auto" w:sz="0" w:space="0"/>
          <w:bottom w:val="single" w:color="A6BFDD" w:themeColor="accent1" w:sz="4" w:space="0"/>
          <w:right w:val="none" w:color="auto" w:sz="0"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1" w:themeTint="80" w:themeShade="95"/>
        <w:sz w:val="22"/>
      </w:rPr>
      <w:tblPr/>
      <w:tcPr>
        <w:tcBorders>
          <w:top w:val="none" w:color="auto" w:sz="0" w:space="0"/>
          <w:left w:val="none" w:color="auto" w:sz="0" w:space="0"/>
          <w:bottom w:val="none" w:color="auto" w:sz="0" w:space="0"/>
          <w:right w:val="single" w:color="A6BFDD" w:themeColor="accent1" w:sz="4" w:space="0"/>
        </w:tcBorders>
        <w:shd w:val="clear" w:color="FFFFFF" w:fill="FFFFFF"/>
      </w:tcPr>
    </w:tblStylePr>
    <w:tblStylePr w:type="lastCol">
      <w:rPr>
        <w:i/>
        <w:color w:themeColor="accent1" w:themeTint="80" w:themeShade="95"/>
        <w:sz w:val="22"/>
      </w:rPr>
      <w:tblPr/>
      <w:tcPr>
        <w:tcBorders>
          <w:top w:val="none" w:color="auto" w:sz="0" w:space="0"/>
          <w:left w:val="single" w:color="A6BFDD" w:themeColor="accent1" w:sz="4" w:space="0"/>
          <w:bottom w:val="none" w:color="auto" w:sz="0" w:space="0"/>
          <w:right w:val="none" w:color="auto" w:sz="0" w:space="0"/>
        </w:tcBorders>
        <w:shd w:val="clear" w:color="FFFFFF" w:fill="FFFFFF"/>
      </w:tcPr>
    </w:tblStylePr>
    <w:tblStylePr w:type="band1Vert">
      <w:tblPr/>
      <w:tcPr>
        <w:shd w:val="clear" w:color="FFFFFF" w:fill="DAE5F1" w:themeFill="accent1" w:themeFillTint="34"/>
      </w:tcPr>
    </w:tblStylePr>
    <w:tblStylePr w:type="band1Horz">
      <w:rPr>
        <w:color w:themeColor="accent1" w:themeTint="80" w:themeShade="95"/>
        <w:sz w:val="22"/>
      </w:rPr>
      <w:tblPr/>
      <w:tcPr>
        <w:shd w:val="clear" w:color="FFFFFF"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Standardowy"/>
    <w:uiPriority w:val="99"/>
    <w:rsid w:val="00702973"/>
    <w:pPr>
      <w:spacing w:after="0" w:line="240" w:lineRule="auto"/>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FFFFFF"/>
      </w:tcPr>
    </w:tblStylePr>
    <w:tblStylePr w:type="lastCol">
      <w:rPr>
        <w:i/>
        <w:color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FFFFFF"/>
      </w:tcPr>
    </w:tblStylePr>
    <w:tblStylePr w:type="band1Vert">
      <w:tblPr/>
      <w:tcPr>
        <w:shd w:val="clear" w:color="FFFFFF" w:fill="F2DCDC" w:themeFill="accent2" w:themeFillTint="32"/>
      </w:tcPr>
    </w:tblStylePr>
    <w:tblStylePr w:type="band1Horz">
      <w:rPr>
        <w:color w:themeColor="accent2" w:themeTint="97" w:themeShade="95"/>
        <w:sz w:val="22"/>
      </w:rPr>
      <w:tblPr/>
      <w:tcPr>
        <w:shd w:val="clear" w:color="FFFFFF"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Standardowy"/>
    <w:uiPriority w:val="99"/>
    <w:rsid w:val="00702973"/>
    <w:pPr>
      <w:spacing w:after="0" w:line="240" w:lineRule="auto"/>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auto" w:sz="0" w:space="0"/>
          <w:left w:val="none" w:color="auto" w:sz="0" w:space="0"/>
          <w:bottom w:val="single" w:color="9ABB59" w:themeColor="accent3" w:sz="4" w:space="0"/>
          <w:right w:val="none" w:color="auto" w:sz="0"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3" w:themeTint="fe" w:themeShade="95"/>
        <w:sz w:val="22"/>
      </w:rPr>
      <w:tblPr/>
      <w:tcPr>
        <w:tcBorders>
          <w:top w:val="none" w:color="auto" w:sz="0" w:space="0"/>
          <w:left w:val="none" w:color="auto" w:sz="0" w:space="0"/>
          <w:bottom w:val="none" w:color="auto" w:sz="0" w:space="0"/>
          <w:right w:val="single" w:color="9ABB59" w:themeColor="accent3" w:sz="4" w:space="0"/>
        </w:tcBorders>
        <w:shd w:val="clear" w:color="FFFFFF" w:fill="FFFFFF"/>
      </w:tcPr>
    </w:tblStylePr>
    <w:tblStylePr w:type="lastCol">
      <w:rPr>
        <w:i/>
        <w:color w:themeColor="accent3" w:themeTint="fe" w:themeShade="95"/>
        <w:sz w:val="22"/>
      </w:rPr>
      <w:tblPr/>
      <w:tcPr>
        <w:tcBorders>
          <w:top w:val="none" w:color="auto" w:sz="0" w:space="0"/>
          <w:left w:val="single" w:color="9ABB59" w:themeColor="accent3" w:sz="4" w:space="0"/>
          <w:bottom w:val="none" w:color="auto" w:sz="0" w:space="0"/>
          <w:right w:val="none" w:color="auto" w:sz="0" w:space="0"/>
        </w:tcBorders>
        <w:shd w:val="clear" w:color="FFFFFF" w:fill="FFFFFF"/>
      </w:tcPr>
    </w:tblStylePr>
    <w:tblStylePr w:type="band1Vert">
      <w:tblPr/>
      <w:tcPr>
        <w:shd w:val="clear" w:color="FFFFFF" w:fill="EAF1DC" w:themeFill="accent3" w:themeFillTint="34"/>
      </w:tcPr>
    </w:tblStylePr>
    <w:tblStylePr w:type="band1Horz">
      <w:rPr>
        <w:color w:themeColor="accent3" w:themeTint="fe" w:themeShade="95"/>
        <w:sz w:val="22"/>
      </w:rPr>
      <w:tblPr/>
      <w:tcPr>
        <w:shd w:val="clear" w:color="FFFFFF"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Standardowy"/>
    <w:uiPriority w:val="99"/>
    <w:rsid w:val="00702973"/>
    <w:pPr>
      <w:spacing w:after="0" w:line="240" w:lineRule="auto"/>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FFFFFF"/>
      </w:tcPr>
    </w:tblStylePr>
    <w:tblStylePr w:type="lastCol">
      <w:rPr>
        <w:i/>
        <w:color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FFFFFF"/>
      </w:tcPr>
    </w:tblStylePr>
    <w:tblStylePr w:type="band1Vert">
      <w:tblPr/>
      <w:tcPr>
        <w:shd w:val="clear" w:color="FFFFFF" w:fill="E5DFEC" w:themeFill="accent4" w:themeFillTint="34"/>
      </w:tcPr>
    </w:tblStylePr>
    <w:tblStylePr w:type="band1Horz">
      <w:rPr>
        <w:color w:themeColor="accent4" w:themeTint="9a" w:themeShade="95"/>
        <w:sz w:val="22"/>
      </w:rPr>
      <w:tblPr/>
      <w:tcPr>
        <w:shd w:val="clear" w:color="FFFFFF"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Standardowy"/>
    <w:uiPriority w:val="99"/>
    <w:rsid w:val="00702973"/>
    <w:pPr>
      <w:spacing w:after="0" w:line="240" w:lineRule="auto"/>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auto" w:sz="0" w:space="0"/>
          <w:left w:val="none" w:color="auto" w:sz="0" w:space="0"/>
          <w:bottom w:val="single" w:color="99D0DE" w:themeColor="accent5" w:sz="4" w:space="0"/>
          <w:right w:val="none" w:color="auto" w:sz="0"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5" w:themeShade="95"/>
        <w:sz w:val="22"/>
      </w:rPr>
      <w:tblPr/>
      <w:tcPr>
        <w:tcBorders>
          <w:top w:val="none" w:color="auto" w:sz="0" w:space="0"/>
          <w:left w:val="none" w:color="auto" w:sz="0" w:space="0"/>
          <w:bottom w:val="none" w:color="auto" w:sz="0" w:space="0"/>
          <w:right w:val="single" w:color="99D0DE" w:themeColor="accent5" w:sz="4" w:space="0"/>
        </w:tcBorders>
        <w:shd w:val="clear" w:color="FFFFFF" w:fill="FFFFFF"/>
      </w:tcPr>
    </w:tblStylePr>
    <w:tblStylePr w:type="lastCol">
      <w:rPr>
        <w:i/>
        <w:color w:themeColor="accent5" w:themeShade="95"/>
        <w:sz w:val="22"/>
      </w:rPr>
      <w:tblPr/>
      <w:tcPr>
        <w:tcBorders>
          <w:top w:val="none" w:color="auto" w:sz="0" w:space="0"/>
          <w:left w:val="single" w:color="99D0DE" w:themeColor="accent5" w:sz="4" w:space="0"/>
          <w:bottom w:val="none" w:color="auto" w:sz="0" w:space="0"/>
          <w:right w:val="none" w:color="auto" w:sz="0" w:space="0"/>
        </w:tcBorders>
        <w:shd w:val="clear" w:color="FFFFFF" w:fill="FFFFFF"/>
      </w:tcPr>
    </w:tblStylePr>
    <w:tblStylePr w:type="band1Vert">
      <w:tblPr/>
      <w:tcPr>
        <w:shd w:val="clear" w:color="FFFFFF" w:fill="DAEEF3" w:themeFill="accent5" w:themeFillTint="34"/>
      </w:tcPr>
    </w:tblStylePr>
    <w:tblStylePr w:type="band1Horz">
      <w:rPr>
        <w:color w:themeColor="accent5" w:themeShade="95"/>
        <w:sz w:val="22"/>
      </w:rPr>
      <w:tblPr/>
      <w:tcPr>
        <w:shd w:val="clear" w:color="FFFFFF"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Standardowy"/>
    <w:uiPriority w:val="99"/>
    <w:rsid w:val="00702973"/>
    <w:pPr>
      <w:spacing w:after="0" w:line="240" w:lineRule="auto"/>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auto" w:sz="0" w:space="0"/>
          <w:left w:val="none" w:color="auto" w:sz="0" w:space="0"/>
          <w:bottom w:val="single" w:color="FAC396" w:themeColor="accent6" w:sz="4" w:space="0"/>
          <w:right w:val="none" w:color="auto" w:sz="0"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6" w:themeShade="95"/>
        <w:sz w:val="22"/>
      </w:rPr>
      <w:tblPr/>
      <w:tcPr>
        <w:tcBorders>
          <w:top w:val="none" w:color="auto" w:sz="0" w:space="0"/>
          <w:left w:val="none" w:color="auto" w:sz="0" w:space="0"/>
          <w:bottom w:val="none" w:color="auto" w:sz="0" w:space="0"/>
          <w:right w:val="single" w:color="FAC396" w:themeColor="accent6" w:sz="4" w:space="0"/>
        </w:tcBorders>
        <w:shd w:val="clear" w:color="FFFFFF" w:fill="FFFFFF"/>
      </w:tcPr>
    </w:tblStylePr>
    <w:tblStylePr w:type="lastCol">
      <w:rPr>
        <w:i/>
        <w:color w:themeColor="accent6" w:themeShade="95"/>
        <w:sz w:val="22"/>
      </w:rPr>
      <w:tblPr/>
      <w:tcPr>
        <w:tcBorders>
          <w:top w:val="none" w:color="auto" w:sz="0" w:space="0"/>
          <w:left w:val="single" w:color="FAC396" w:themeColor="accent6" w:sz="4" w:space="0"/>
          <w:bottom w:val="none" w:color="auto" w:sz="0" w:space="0"/>
          <w:right w:val="none" w:color="auto" w:sz="0" w:space="0"/>
        </w:tcBorders>
        <w:shd w:val="clear" w:color="FFFFFF" w:fill="FFFFFF"/>
      </w:tcPr>
    </w:tblStylePr>
    <w:tblStylePr w:type="band1Vert">
      <w:tblPr/>
      <w:tcPr>
        <w:shd w:val="clear" w:color="FFFFFF" w:fill="FDE9D8" w:themeFill="accent6" w:themeFillTint="34"/>
      </w:tcPr>
    </w:tblStylePr>
    <w:tblStylePr w:type="band1Horz">
      <w:rPr>
        <w:color w:themeColor="accent6" w:themeShade="95"/>
        <w:sz w:val="22"/>
      </w:rPr>
      <w:tblPr/>
      <w:tcPr>
        <w:shd w:val="clear" w:color="FFFFFF" w:fill="FDE9D8" w:themeFill="accent6" w:themeFillTint="34"/>
      </w:tcPr>
    </w:tblStylePr>
    <w:tblStylePr w:type="band2Horz">
      <w:rPr>
        <w:color w:themeColor="accent6" w:themeShade="95"/>
        <w:sz w:val="22"/>
      </w:rPr>
      <w:tblPr/>
    </w:tblStylePr>
  </w:style>
  <w:style w:type="table" w:customStyle="1" w:styleId="Tabelalisty1jasna1">
    <w:name w:val="Tabela listy 1 — jasna1"/>
    <w:basedOn w:val="Standardowy"/>
    <w:uiPriority w:val="99"/>
    <w:rsid w:val="00702973"/>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Standardowy"/>
    <w:uiPriority w:val="99"/>
    <w:rsid w:val="00702973"/>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Standardowy"/>
    <w:uiPriority w:val="99"/>
    <w:rsid w:val="00702973"/>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Standardowy"/>
    <w:uiPriority w:val="99"/>
    <w:rsid w:val="00702973"/>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Standardowy"/>
    <w:uiPriority w:val="99"/>
    <w:rsid w:val="00702973"/>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Standardowy"/>
    <w:uiPriority w:val="99"/>
    <w:rsid w:val="00702973"/>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Standardowy"/>
    <w:uiPriority w:val="99"/>
    <w:rsid w:val="00702973"/>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Tabelalisty21">
    <w:name w:val="Tabela listy 21"/>
    <w:basedOn w:val="Standardowy"/>
    <w:uiPriority w:val="99"/>
    <w:rsid w:val="00702973"/>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Standardowy"/>
    <w:uiPriority w:val="99"/>
    <w:rsid w:val="00702973"/>
    <w:pPr>
      <w:spacing w:after="0" w:line="240" w:lineRule="auto"/>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2-Accent2">
    <w:name w:val="List Table 2 - Accent 2"/>
    <w:basedOn w:val="Standardowy"/>
    <w:uiPriority w:val="99"/>
    <w:rsid w:val="00702973"/>
    <w:pPr>
      <w:spacing w:after="0" w:line="240" w:lineRule="auto"/>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2-Accent3">
    <w:name w:val="List Table 2 - Accent 3"/>
    <w:basedOn w:val="Standardowy"/>
    <w:uiPriority w:val="99"/>
    <w:rsid w:val="00702973"/>
    <w:pPr>
      <w:spacing w:after="0" w:line="240" w:lineRule="auto"/>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2-Accent4">
    <w:name w:val="List Table 2 - Accent 4"/>
    <w:basedOn w:val="Standardowy"/>
    <w:uiPriority w:val="99"/>
    <w:rsid w:val="00702973"/>
    <w:pPr>
      <w:spacing w:after="0" w:line="240" w:lineRule="auto"/>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2-Accent5">
    <w:name w:val="List Table 2 - Accent 5"/>
    <w:basedOn w:val="Standardowy"/>
    <w:uiPriority w:val="99"/>
    <w:rsid w:val="00702973"/>
    <w:pPr>
      <w:spacing w:after="0" w:line="240" w:lineRule="auto"/>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2-Accent6">
    <w:name w:val="List Table 2 - Accent 6"/>
    <w:basedOn w:val="Standardowy"/>
    <w:uiPriority w:val="99"/>
    <w:rsid w:val="00702973"/>
    <w:pPr>
      <w:spacing w:after="0" w:line="240" w:lineRule="auto"/>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customStyle="1" w:styleId="Tabelalisty31">
    <w:name w:val="Tabela listy 31"/>
    <w:basedOn w:val="Standardowy"/>
    <w:uiPriority w:val="99"/>
    <w:rsid w:val="00702973"/>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FFFFFF"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Standardowy"/>
    <w:uiPriority w:val="99"/>
    <w:rsid w:val="00702973"/>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FFFFFF"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Standardowy"/>
    <w:uiPriority w:val="99"/>
    <w:rsid w:val="00702973"/>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FFFFFF"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Standardowy"/>
    <w:uiPriority w:val="99"/>
    <w:rsid w:val="00702973"/>
    <w:pPr>
      <w:spacing w:after="0" w:line="240" w:lineRule="auto"/>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FFFFFF"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Standardowy"/>
    <w:uiPriority w:val="99"/>
    <w:rsid w:val="00702973"/>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FFFFFF"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Standardowy"/>
    <w:uiPriority w:val="99"/>
    <w:rsid w:val="00702973"/>
    <w:pPr>
      <w:spacing w:after="0" w:line="240" w:lineRule="auto"/>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FFFFFF"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Standardowy"/>
    <w:uiPriority w:val="99"/>
    <w:rsid w:val="00702973"/>
    <w:pPr>
      <w:spacing w:after="0" w:line="240" w:lineRule="auto"/>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FFFFF"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customStyle="1" w:styleId="Tabelalisty41">
    <w:name w:val="Tabela listy 41"/>
    <w:basedOn w:val="Standardowy"/>
    <w:uiPriority w:val="99"/>
    <w:rsid w:val="00702973"/>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FFFFFF"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Standardowy"/>
    <w:uiPriority w:val="99"/>
    <w:rsid w:val="00702973"/>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FFFFFF"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4-Accent2">
    <w:name w:val="List Table 4 - Accent 2"/>
    <w:basedOn w:val="Standardowy"/>
    <w:uiPriority w:val="99"/>
    <w:rsid w:val="00702973"/>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FFFFFF"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4-Accent3">
    <w:name w:val="List Table 4 - Accent 3"/>
    <w:basedOn w:val="Standardowy"/>
    <w:uiPriority w:val="99"/>
    <w:rsid w:val="00702973"/>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FFFFFF"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4-Accent4">
    <w:name w:val="List Table 4 - Accent 4"/>
    <w:basedOn w:val="Standardowy"/>
    <w:uiPriority w:val="99"/>
    <w:rsid w:val="00702973"/>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FFFFFF"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4-Accent5">
    <w:name w:val="List Table 4 - Accent 5"/>
    <w:basedOn w:val="Standardowy"/>
    <w:uiPriority w:val="99"/>
    <w:rsid w:val="00702973"/>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FFFFFF"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4-Accent6">
    <w:name w:val="List Table 4 - Accent 6"/>
    <w:basedOn w:val="Standardowy"/>
    <w:uiPriority w:val="99"/>
    <w:rsid w:val="00702973"/>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FFFFF"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customStyle="1" w:styleId="Tabelalisty5ciemna1">
    <w:name w:val="Tabela listy 5 — ciemna1"/>
    <w:basedOn w:val="Standardowy"/>
    <w:uiPriority w:val="99"/>
    <w:rsid w:val="00702973"/>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FFFFF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FFFFF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7F7F7F" w:themeFill="text1" w:themeFillTint="80"/>
      </w:tcPr>
    </w:tblStylePr>
    <w:tblStylePr w:type="band2Horz">
      <w:tblPr/>
      <w:tcPr>
        <w:tcBorders>
          <w:top w:val="single" w:color="FFFFFF" w:themeColor="light1" w:sz="4" w:space="0"/>
          <w:bottom w:val="single" w:color="FFFFFF" w:themeColor="light1" w:sz="4" w:space="0"/>
        </w:tcBorders>
        <w:shd w:val="clear" w:color="FFFFFF" w:fill="7F7F7F" w:themeFill="text1" w:themeFillTint="80"/>
      </w:tcPr>
    </w:tblStylePr>
  </w:style>
  <w:style w:type="table" w:customStyle="1" w:styleId="ListTable5Dark-Accent1">
    <w:name w:val="List Table 5 Dark - Accent 1"/>
    <w:basedOn w:val="Standardowy"/>
    <w:uiPriority w:val="99"/>
    <w:rsid w:val="00702973"/>
    <w:pPr>
      <w:spacing w:after="0" w:line="240" w:lineRule="auto"/>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FFFFFF"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FFFFFF"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4F81BD" w:themeFill="accent1"/>
      </w:tcPr>
    </w:tblStylePr>
    <w:tblStylePr w:type="band2Horz">
      <w:tblPr/>
      <w:tcPr>
        <w:tcBorders>
          <w:top w:val="single" w:color="FFFFFF" w:themeColor="light1" w:sz="4" w:space="0"/>
          <w:bottom w:val="single" w:color="FFFFFF" w:themeColor="light1" w:sz="4" w:space="0"/>
        </w:tcBorders>
        <w:shd w:val="clear" w:color="FFFFFF" w:fill="4F81BD" w:themeFill="accent1"/>
      </w:tcPr>
    </w:tblStylePr>
  </w:style>
  <w:style w:type="table" w:customStyle="1" w:styleId="ListTable5Dark-Accent2">
    <w:name w:val="List Table 5 Dark - Accent 2"/>
    <w:basedOn w:val="Standardowy"/>
    <w:uiPriority w:val="99"/>
    <w:rsid w:val="00702973"/>
    <w:pPr>
      <w:spacing w:after="0" w:line="240" w:lineRule="auto"/>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FFFFFF"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FFFFFF"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D99695" w:themeFill="accent2" w:themeFillTint="97"/>
      </w:tcPr>
    </w:tblStylePr>
    <w:tblStylePr w:type="band2Horz">
      <w:tblPr/>
      <w:tcPr>
        <w:tcBorders>
          <w:top w:val="single" w:color="FFFFFF" w:themeColor="light1" w:sz="4" w:space="0"/>
          <w:bottom w:val="single" w:color="FFFFFF" w:themeColor="light1" w:sz="4" w:space="0"/>
        </w:tcBorders>
        <w:shd w:val="clear" w:color="FFFFFF" w:fill="D99695" w:themeFill="accent2" w:themeFillTint="97"/>
      </w:tcPr>
    </w:tblStylePr>
  </w:style>
  <w:style w:type="table" w:customStyle="1" w:styleId="ListTable5Dark-Accent3">
    <w:name w:val="List Table 5 Dark - Accent 3"/>
    <w:basedOn w:val="Standardowy"/>
    <w:uiPriority w:val="99"/>
    <w:rsid w:val="00702973"/>
    <w:pPr>
      <w:spacing w:after="0" w:line="240" w:lineRule="auto"/>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FFFFFF"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FFFFFF"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C3D69B" w:themeFill="accent3" w:themeFillTint="98"/>
      </w:tcPr>
    </w:tblStylePr>
    <w:tblStylePr w:type="band2Horz">
      <w:tblPr/>
      <w:tcPr>
        <w:tcBorders>
          <w:top w:val="single" w:color="FFFFFF" w:themeColor="light1" w:sz="4" w:space="0"/>
          <w:bottom w:val="single" w:color="FFFFFF" w:themeColor="light1" w:sz="4" w:space="0"/>
        </w:tcBorders>
        <w:shd w:val="clear" w:color="FFFFFF" w:fill="C3D69B" w:themeFill="accent3" w:themeFillTint="98"/>
      </w:tcPr>
    </w:tblStylePr>
  </w:style>
  <w:style w:type="table" w:customStyle="1" w:styleId="ListTable5Dark-Accent4">
    <w:name w:val="List Table 5 Dark - Accent 4"/>
    <w:basedOn w:val="Standardowy"/>
    <w:uiPriority w:val="99"/>
    <w:rsid w:val="00702973"/>
    <w:pPr>
      <w:spacing w:after="0" w:line="240" w:lineRule="auto"/>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FFFFFF"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FFFFFF"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B2A1C6" w:themeFill="accent4" w:themeFillTint="9a"/>
      </w:tcPr>
    </w:tblStylePr>
    <w:tblStylePr w:type="band2Horz">
      <w:tblPr/>
      <w:tcPr>
        <w:tcBorders>
          <w:top w:val="single" w:color="FFFFFF" w:themeColor="light1" w:sz="4" w:space="0"/>
          <w:bottom w:val="single" w:color="FFFFFF" w:themeColor="light1" w:sz="4" w:space="0"/>
        </w:tcBorders>
        <w:shd w:val="clear" w:color="FFFFFF" w:fill="B2A1C6" w:themeFill="accent4" w:themeFillTint="9a"/>
      </w:tcPr>
    </w:tblStylePr>
  </w:style>
  <w:style w:type="table" w:customStyle="1" w:styleId="ListTable5Dark-Accent5">
    <w:name w:val="List Table 5 Dark - Accent 5"/>
    <w:basedOn w:val="Standardowy"/>
    <w:uiPriority w:val="99"/>
    <w:rsid w:val="00702973"/>
    <w:pPr>
      <w:spacing w:after="0" w:line="240" w:lineRule="auto"/>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FFFFFF"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FFFFFF"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92CCDC" w:themeFill="accent5" w:themeFillTint="9a"/>
      </w:tcPr>
    </w:tblStylePr>
    <w:tblStylePr w:type="band2Horz">
      <w:tblPr/>
      <w:tcPr>
        <w:tcBorders>
          <w:top w:val="single" w:color="FFFFFF" w:themeColor="light1" w:sz="4" w:space="0"/>
          <w:bottom w:val="single" w:color="FFFFFF" w:themeColor="light1" w:sz="4" w:space="0"/>
        </w:tcBorders>
        <w:shd w:val="clear" w:color="FFFFFF" w:fill="92CCDC" w:themeFill="accent5" w:themeFillTint="9a"/>
      </w:tcPr>
    </w:tblStylePr>
  </w:style>
  <w:style w:type="table" w:customStyle="1" w:styleId="ListTable5Dark-Accent6">
    <w:name w:val="List Table 5 Dark - Accent 6"/>
    <w:basedOn w:val="Standardowy"/>
    <w:uiPriority w:val="99"/>
    <w:rsid w:val="00702973"/>
    <w:pPr>
      <w:spacing w:after="0" w:line="240" w:lineRule="auto"/>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FFFFF"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FFFFF"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FAC090" w:themeFill="accent6" w:themeFillTint="98"/>
      </w:tcPr>
    </w:tblStylePr>
    <w:tblStylePr w:type="band2Horz">
      <w:tblPr/>
      <w:tcPr>
        <w:tcBorders>
          <w:top w:val="single" w:color="FFFFFF" w:themeColor="light1" w:sz="4" w:space="0"/>
          <w:bottom w:val="single" w:color="FFFFFF" w:themeColor="light1" w:sz="4" w:space="0"/>
        </w:tcBorders>
        <w:shd w:val="clear" w:color="FFFFFF" w:fill="FAC090" w:themeFill="accent6" w:themeFillTint="98"/>
      </w:tcPr>
    </w:tblStylePr>
  </w:style>
  <w:style w:type="table" w:customStyle="1" w:styleId="Tabelalisty6kolorowa1">
    <w:name w:val="Tabela listy 6 — kolorowa1"/>
    <w:basedOn w:val="Standardowy"/>
    <w:uiPriority w:val="99"/>
    <w:rsid w:val="00702973"/>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FFFFFF" w:fill="BFBFBF" w:themeFill="text1" w:themeFillTint="40"/>
      </w:tcPr>
    </w:tblStylePr>
    <w:tblStylePr w:type="band1Horz">
      <w:rPr>
        <w:color w:themeColor="text1"/>
        <w:sz w:val="22"/>
      </w:rPr>
      <w:tblPr/>
      <w:tcPr>
        <w:shd w:val="clear" w:color="FFFFF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Standardowy"/>
    <w:uiPriority w:val="99"/>
    <w:rsid w:val="00702973"/>
    <w:pPr>
      <w:spacing w:after="0" w:line="240" w:lineRule="auto"/>
    </w:pPr>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FFFFFF" w:fill="D2DFEE" w:themeFill="accent1" w:themeFillTint="40"/>
      </w:tcPr>
    </w:tblStylePr>
    <w:tblStylePr w:type="band1Horz">
      <w:rPr>
        <w:color w:themeColor="accent1" w:themeShade="95"/>
        <w:sz w:val="22"/>
      </w:rPr>
      <w:tblPr/>
      <w:tcPr>
        <w:shd w:val="clear" w:color="FFFFFF"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Standardowy"/>
    <w:uiPriority w:val="99"/>
    <w:rsid w:val="00702973"/>
    <w:pPr>
      <w:spacing w:after="0" w:line="240" w:lineRule="auto"/>
    </w:pPr>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FFFFF" w:fill="EFD2D2" w:themeFill="accent2" w:themeFillTint="40"/>
      </w:tcPr>
    </w:tblStylePr>
    <w:tblStylePr w:type="band1Horz">
      <w:rPr>
        <w:color w:themeColor="accent2" w:themeTint="97" w:themeShade="95"/>
        <w:sz w:val="22"/>
      </w:rPr>
      <w:tblPr/>
      <w:tcPr>
        <w:shd w:val="clear" w:color="FFFFFF"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Standardowy"/>
    <w:uiPriority w:val="99"/>
    <w:rsid w:val="00702973"/>
    <w:pPr>
      <w:spacing w:after="0" w:line="240" w:lineRule="auto"/>
    </w:pPr>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FFFFFF" w:fill="E5EED5" w:themeFill="accent3" w:themeFillTint="40"/>
      </w:tcPr>
    </w:tblStylePr>
    <w:tblStylePr w:type="band1Horz">
      <w:rPr>
        <w:color w:themeColor="accent3" w:themeTint="98" w:themeShade="95"/>
        <w:sz w:val="22"/>
      </w:rPr>
      <w:tblPr/>
      <w:tcPr>
        <w:shd w:val="clear" w:color="FFFFFF"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Standardowy"/>
    <w:uiPriority w:val="99"/>
    <w:rsid w:val="00702973"/>
    <w:pPr>
      <w:spacing w:after="0" w:line="240" w:lineRule="auto"/>
    </w:pPr>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FFFFFF" w:fill="DFD8E7" w:themeFill="accent4" w:themeFillTint="40"/>
      </w:tcPr>
    </w:tblStylePr>
    <w:tblStylePr w:type="band1Horz">
      <w:rPr>
        <w:color w:themeColor="accent4" w:themeTint="9a" w:themeShade="95"/>
        <w:sz w:val="22"/>
      </w:rPr>
      <w:tblPr/>
      <w:tcPr>
        <w:shd w:val="clear" w:color="FFFFFF"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Standardowy"/>
    <w:uiPriority w:val="99"/>
    <w:rsid w:val="00702973"/>
    <w:pPr>
      <w:spacing w:after="0" w:line="240" w:lineRule="auto"/>
    </w:pPr>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FFFFFF" w:fill="D1EAF0" w:themeFill="accent5" w:themeFillTint="40"/>
      </w:tcPr>
    </w:tblStylePr>
    <w:tblStylePr w:type="band1Horz">
      <w:rPr>
        <w:color w:themeColor="accent5" w:themeTint="9a" w:themeShade="95"/>
        <w:sz w:val="22"/>
      </w:rPr>
      <w:tblPr/>
      <w:tcPr>
        <w:shd w:val="clear" w:color="FFFFFF"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Standardowy"/>
    <w:uiPriority w:val="99"/>
    <w:rsid w:val="00702973"/>
    <w:pPr>
      <w:spacing w:after="0" w:line="240" w:lineRule="auto"/>
    </w:pPr>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FFFFF" w:fill="FDE4D0" w:themeFill="accent6" w:themeFillTint="40"/>
      </w:tcPr>
    </w:tblStylePr>
    <w:tblStylePr w:type="band1Horz">
      <w:rPr>
        <w:color w:themeColor="accent6" w:themeTint="98" w:themeShade="95"/>
        <w:sz w:val="22"/>
      </w:rPr>
      <w:tblPr/>
      <w:tcPr>
        <w:shd w:val="clear" w:color="FFFFFF" w:fill="FDE4D0" w:themeFill="accent6" w:themeFillTint="40"/>
      </w:tcPr>
    </w:tblStylePr>
    <w:tblStylePr w:type="band2Horz">
      <w:rPr>
        <w:color w:themeColor="accent6" w:themeTint="98" w:themeShade="95"/>
        <w:sz w:val="22"/>
      </w:rPr>
      <w:tblPr/>
    </w:tblStylePr>
  </w:style>
  <w:style w:type="table" w:customStyle="1" w:styleId="Tabelalisty7kolorowa1">
    <w:name w:val="Tabela listy 7 — kolorowa1"/>
    <w:basedOn w:val="Standardowy"/>
    <w:uiPriority w:val="99"/>
    <w:rsid w:val="00702973"/>
    <w:pPr>
      <w:spacing w:after="0" w:line="240" w:lineRule="auto"/>
    </w:pPr>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FFFFFF"/>
      </w:tcPr>
    </w:tblStylePr>
    <w:tblStylePr w:type="lastCol">
      <w:rPr>
        <w:i/>
        <w:color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FFFFFF"/>
      </w:tcPr>
    </w:tblStylePr>
    <w:tblStylePr w:type="band1Vert">
      <w:tblPr/>
      <w:tcPr>
        <w:shd w:val="clear" w:color="FFFFFF" w:fill="BFBFBF" w:themeFill="text1" w:themeFillTint="40"/>
      </w:tcPr>
    </w:tblStylePr>
    <w:tblStylePr w:type="band1Horz">
      <w:rPr>
        <w:color w:themeColor="text1" w:themeTint="80" w:themeShade="95"/>
        <w:sz w:val="22"/>
      </w:rPr>
      <w:tblPr/>
      <w:tcPr>
        <w:shd w:val="clear" w:color="FFFFF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Standardowy"/>
    <w:uiPriority w:val="99"/>
    <w:rsid w:val="00702973"/>
    <w:pPr>
      <w:spacing w:after="0" w:line="240" w:lineRule="auto"/>
    </w:pPr>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1"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FFFFFF"/>
      </w:tcPr>
    </w:tblStylePr>
    <w:tblStylePr w:type="lastCol">
      <w:rPr>
        <w:i/>
        <w:color w:themeColor="accent1"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FFFFFF"/>
      </w:tcPr>
    </w:tblStylePr>
    <w:tblStylePr w:type="band1Vert">
      <w:tblPr/>
      <w:tcPr>
        <w:shd w:val="clear" w:color="FFFFFF" w:fill="D2DFEE" w:themeFill="accent1" w:themeFillTint="40"/>
      </w:tcPr>
    </w:tblStylePr>
    <w:tblStylePr w:type="band1Horz">
      <w:rPr>
        <w:color w:themeColor="accent1" w:themeShade="95"/>
        <w:sz w:val="22"/>
      </w:rPr>
      <w:tblPr/>
      <w:tcPr>
        <w:shd w:val="clear" w:color="FFFFFF"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Standardowy"/>
    <w:uiPriority w:val="99"/>
    <w:rsid w:val="00702973"/>
    <w:pPr>
      <w:spacing w:after="0" w:line="240" w:lineRule="auto"/>
    </w:pPr>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FFFFFF"/>
      </w:tcPr>
    </w:tblStylePr>
    <w:tblStylePr w:type="lastCol">
      <w:rPr>
        <w:i/>
        <w:color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FFFFFF"/>
      </w:tcPr>
    </w:tblStylePr>
    <w:tblStylePr w:type="band1Vert">
      <w:tblPr/>
      <w:tcPr>
        <w:shd w:val="clear" w:color="FFFFFF" w:fill="EFD2D2" w:themeFill="accent2" w:themeFillTint="40"/>
      </w:tcPr>
    </w:tblStylePr>
    <w:tblStylePr w:type="band1Horz">
      <w:rPr>
        <w:color w:themeColor="accent2" w:themeTint="97" w:themeShade="95"/>
        <w:sz w:val="22"/>
      </w:rPr>
      <w:tblPr/>
      <w:tcPr>
        <w:shd w:val="clear" w:color="FFFFFF"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Standardowy"/>
    <w:uiPriority w:val="99"/>
    <w:rsid w:val="00702973"/>
    <w:pPr>
      <w:spacing w:after="0" w:line="240" w:lineRule="auto"/>
    </w:pPr>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auto" w:sz="0" w:space="0"/>
          <w:left w:val="none" w:color="auto" w:sz="0" w:space="0"/>
          <w:bottom w:val="single" w:color="C3D69B" w:themeColor="accent3" w:sz="4" w:space="0"/>
          <w:right w:val="none" w:color="auto" w:sz="0"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3" w:themeTint="98" w:themeShade="95"/>
        <w:sz w:val="22"/>
      </w:rPr>
      <w:tblPr/>
      <w:tcPr>
        <w:tcBorders>
          <w:top w:val="none" w:color="auto" w:sz="0" w:space="0"/>
          <w:left w:val="none" w:color="auto" w:sz="0" w:space="0"/>
          <w:bottom w:val="none" w:color="auto" w:sz="0" w:space="0"/>
          <w:right w:val="single" w:color="C3D69B" w:themeColor="accent3" w:sz="4" w:space="0"/>
        </w:tcBorders>
        <w:shd w:val="clear" w:color="FFFFFF" w:fill="FFFFFF"/>
      </w:tcPr>
    </w:tblStylePr>
    <w:tblStylePr w:type="lastCol">
      <w:rPr>
        <w:i/>
        <w:color w:themeColor="accent3" w:themeTint="98" w:themeShade="95"/>
        <w:sz w:val="22"/>
      </w:rPr>
      <w:tblPr/>
      <w:tcPr>
        <w:tcBorders>
          <w:top w:val="none" w:color="auto" w:sz="0" w:space="0"/>
          <w:left w:val="single" w:color="C3D69B" w:themeColor="accent3" w:sz="4" w:space="0"/>
          <w:bottom w:val="none" w:color="auto" w:sz="0" w:space="0"/>
          <w:right w:val="none" w:color="auto" w:sz="0" w:space="0"/>
        </w:tcBorders>
        <w:shd w:val="clear" w:color="FFFFFF" w:fill="FFFFFF"/>
      </w:tcPr>
    </w:tblStylePr>
    <w:tblStylePr w:type="band1Vert">
      <w:tblPr/>
      <w:tcPr>
        <w:shd w:val="clear" w:color="FFFFFF" w:fill="E5EED5" w:themeFill="accent3" w:themeFillTint="40"/>
      </w:tcPr>
    </w:tblStylePr>
    <w:tblStylePr w:type="band1Horz">
      <w:rPr>
        <w:color w:themeColor="accent3" w:themeTint="98" w:themeShade="95"/>
        <w:sz w:val="22"/>
      </w:rPr>
      <w:tblPr/>
      <w:tcPr>
        <w:shd w:val="clear" w:color="FFFFFF"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Standardowy"/>
    <w:uiPriority w:val="99"/>
    <w:rsid w:val="00702973"/>
    <w:pPr>
      <w:spacing w:after="0" w:line="240" w:lineRule="auto"/>
    </w:pPr>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FFFFFF"/>
      </w:tcPr>
    </w:tblStylePr>
    <w:tblStylePr w:type="lastCol">
      <w:rPr>
        <w:i/>
        <w:color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FFFFFF"/>
      </w:tcPr>
    </w:tblStylePr>
    <w:tblStylePr w:type="band1Vert">
      <w:tblPr/>
      <w:tcPr>
        <w:shd w:val="clear" w:color="FFFFFF" w:fill="DFD8E7" w:themeFill="accent4" w:themeFillTint="40"/>
      </w:tcPr>
    </w:tblStylePr>
    <w:tblStylePr w:type="band1Horz">
      <w:rPr>
        <w:color w:themeColor="accent4" w:themeTint="9a" w:themeShade="95"/>
        <w:sz w:val="22"/>
      </w:rPr>
      <w:tblPr/>
      <w:tcPr>
        <w:shd w:val="clear" w:color="FFFFFF"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Standardowy"/>
    <w:uiPriority w:val="99"/>
    <w:rsid w:val="00702973"/>
    <w:pPr>
      <w:spacing w:after="0" w:line="240" w:lineRule="auto"/>
    </w:pPr>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auto" w:sz="0" w:space="0"/>
          <w:left w:val="none" w:color="auto" w:sz="0" w:space="0"/>
          <w:bottom w:val="single" w:color="92CCDC" w:themeColor="accent5" w:sz="4" w:space="0"/>
          <w:right w:val="none" w:color="auto" w:sz="0"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5" w:themeTint="9a" w:themeShade="95"/>
        <w:sz w:val="22"/>
      </w:rPr>
      <w:tblPr/>
      <w:tcPr>
        <w:tcBorders>
          <w:top w:val="none" w:color="auto" w:sz="0" w:space="0"/>
          <w:left w:val="none" w:color="auto" w:sz="0" w:space="0"/>
          <w:bottom w:val="none" w:color="auto" w:sz="0" w:space="0"/>
          <w:right w:val="single" w:color="92CCDC" w:themeColor="accent5" w:sz="4" w:space="0"/>
        </w:tcBorders>
        <w:shd w:val="clear" w:color="FFFFFF" w:fill="FFFFFF"/>
      </w:tcPr>
    </w:tblStylePr>
    <w:tblStylePr w:type="lastCol">
      <w:rPr>
        <w:i/>
        <w:color w:themeColor="accent5" w:themeTint="9a" w:themeShade="95"/>
        <w:sz w:val="22"/>
      </w:rPr>
      <w:tblPr/>
      <w:tcPr>
        <w:tcBorders>
          <w:top w:val="none" w:color="auto" w:sz="0" w:space="0"/>
          <w:left w:val="single" w:color="92CCDC" w:themeColor="accent5" w:sz="4" w:space="0"/>
          <w:bottom w:val="none" w:color="auto" w:sz="0" w:space="0"/>
          <w:right w:val="none" w:color="auto" w:sz="0" w:space="0"/>
        </w:tcBorders>
        <w:shd w:val="clear" w:color="FFFFFF" w:fill="FFFFFF"/>
      </w:tcPr>
    </w:tblStylePr>
    <w:tblStylePr w:type="band1Vert">
      <w:tblPr/>
      <w:tcPr>
        <w:shd w:val="clear" w:color="FFFFFF" w:fill="D1EAF0" w:themeFill="accent5" w:themeFillTint="40"/>
      </w:tcPr>
    </w:tblStylePr>
    <w:tblStylePr w:type="band1Horz">
      <w:rPr>
        <w:color w:themeColor="accent5" w:themeTint="9a" w:themeShade="95"/>
        <w:sz w:val="22"/>
      </w:rPr>
      <w:tblPr/>
      <w:tcPr>
        <w:shd w:val="clear" w:color="FFFFFF"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Standardowy"/>
    <w:uiPriority w:val="99"/>
    <w:rsid w:val="00702973"/>
    <w:pPr>
      <w:spacing w:after="0" w:line="240" w:lineRule="auto"/>
    </w:pPr>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auto" w:sz="0" w:space="0"/>
          <w:left w:val="none" w:color="auto" w:sz="0" w:space="0"/>
          <w:bottom w:val="single" w:color="FAC090" w:themeColor="accent6" w:sz="4" w:space="0"/>
          <w:right w:val="none" w:color="auto" w:sz="0"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6" w:themeTint="98" w:themeShade="95"/>
        <w:sz w:val="22"/>
      </w:rPr>
      <w:tblPr/>
      <w:tcPr>
        <w:tcBorders>
          <w:top w:val="none" w:color="auto" w:sz="0" w:space="0"/>
          <w:left w:val="none" w:color="auto" w:sz="0" w:space="0"/>
          <w:bottom w:val="none" w:color="auto" w:sz="0" w:space="0"/>
          <w:right w:val="single" w:color="FAC090" w:themeColor="accent6" w:sz="4" w:space="0"/>
        </w:tcBorders>
        <w:shd w:val="clear" w:color="FFFFFF" w:fill="FFFFFF"/>
      </w:tcPr>
    </w:tblStylePr>
    <w:tblStylePr w:type="lastCol">
      <w:rPr>
        <w:i/>
        <w:color w:themeColor="accent6" w:themeTint="98" w:themeShade="95"/>
        <w:sz w:val="22"/>
      </w:rPr>
      <w:tblPr/>
      <w:tcPr>
        <w:tcBorders>
          <w:top w:val="none" w:color="auto" w:sz="0" w:space="0"/>
          <w:left w:val="single" w:color="FAC090" w:themeColor="accent6" w:sz="4" w:space="0"/>
          <w:bottom w:val="none" w:color="auto" w:sz="0" w:space="0"/>
          <w:right w:val="none" w:color="auto" w:sz="0" w:space="0"/>
        </w:tcBorders>
        <w:shd w:val="clear" w:color="FFFFFF" w:fill="FFFFFF"/>
      </w:tcPr>
    </w:tblStylePr>
    <w:tblStylePr w:type="band1Vert">
      <w:tblPr/>
      <w:tcPr>
        <w:shd w:val="clear" w:color="FFFFFF" w:fill="FDE4D0" w:themeFill="accent6" w:themeFillTint="40"/>
      </w:tcPr>
    </w:tblStylePr>
    <w:tblStylePr w:type="band1Horz">
      <w:rPr>
        <w:color w:themeColor="accent6" w:themeTint="98" w:themeShade="95"/>
        <w:sz w:val="22"/>
      </w:rPr>
      <w:tblPr/>
      <w:tcPr>
        <w:shd w:val="clear" w:color="FFFFFF"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Standardowy"/>
    <w:uiPriority w:val="99"/>
    <w:rsid w:val="00702973"/>
    <w:pPr>
      <w:spacing w:after="0" w:line="240" w:lineRule="auto"/>
    </w:pPr>
    <w:rPr>
      <w:lang w:eastAsia="pl-PL"/>
      <w:sz w:val="20"/>
      <w:szCs w:val="20"/>
    </w:rPr>
    <w:tblPr>
      <w:tblStyleRowBandSize w:val="1"/>
      <w:tblStyleColBandSize w:val="1"/>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Pr/>
    </w:tblStylePr>
    <w:tblStylePr w:type="band2Vert">
      <w:rPr>
        <w:sz w:val="22"/>
      </w:rPr>
      <w:tblPr/>
      <w:tcPr>
        <w:shd w:val="clear" w:color="FFFFFF" w:fill="F2F2F2" w:themeFill="text1" w:themeFillTint="d"/>
      </w:tcPr>
    </w:tblStylePr>
    <w:tblStylePr w:type="band1Horz">
      <w:rPr>
        <w:sz w:val="22"/>
      </w:rPr>
      <w:tblPr/>
    </w:tblStylePr>
    <w:tblStylePr w:type="band2Horz">
      <w:rPr>
        <w:sz w:val="22"/>
      </w:rPr>
      <w:tblPr/>
      <w:tcPr>
        <w:shd w:val="clear" w:color="FFFFFF" w:fill="F2F2F2" w:themeFill="text1" w:themeFillTint="d"/>
      </w:tcPr>
    </w:tblStylePr>
  </w:style>
  <w:style w:type="table" w:customStyle="1" w:styleId="Lined-Accent1">
    <w:name w:val="Lined - Accent 1"/>
    <w:basedOn w:val="Standardowy"/>
    <w:uiPriority w:val="99"/>
    <w:rsid w:val="00702973"/>
    <w:pPr>
      <w:spacing w:after="0" w:line="240" w:lineRule="auto"/>
    </w:pPr>
    <w:rPr>
      <w:lang w:eastAsia="pl-PL"/>
      <w:sz w:val="20"/>
      <w:szCs w:val="20"/>
    </w:rPr>
    <w:tblPr>
      <w:tblStyleRowBandSize w:val="1"/>
      <w:tblStyleColBandSize w:val="1"/>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Pr/>
    </w:tblStylePr>
    <w:tblStylePr w:type="band2Vert">
      <w:rPr>
        <w:sz w:val="22"/>
      </w:rPr>
      <w:tblPr/>
      <w:tcPr>
        <w:shd w:val="clear" w:color="FFFFFF" w:fill="C7D7EA" w:themeFill="accent1" w:themeFillTint="50"/>
      </w:tcPr>
    </w:tblStylePr>
    <w:tblStylePr w:type="band1Horz">
      <w:rPr>
        <w:sz w:val="22"/>
      </w:rPr>
      <w:tblPr/>
    </w:tblStylePr>
    <w:tblStylePr w:type="band2Horz">
      <w:rPr>
        <w:sz w:val="22"/>
      </w:rPr>
      <w:tblPr/>
      <w:tcPr>
        <w:shd w:val="clear" w:color="FFFFFF" w:fill="C7D7EA" w:themeFill="accent1" w:themeFillTint="50"/>
      </w:tcPr>
    </w:tblStylePr>
  </w:style>
  <w:style w:type="table" w:customStyle="1" w:styleId="Lined-Accent2">
    <w:name w:val="Lined - Accent 2"/>
    <w:basedOn w:val="Standardowy"/>
    <w:uiPriority w:val="99"/>
    <w:rsid w:val="00702973"/>
    <w:pPr>
      <w:spacing w:after="0" w:line="240" w:lineRule="auto"/>
    </w:pPr>
    <w:rPr>
      <w:lang w:eastAsia="pl-PL"/>
      <w:sz w:val="20"/>
      <w:szCs w:val="20"/>
    </w:rPr>
    <w:tblPr>
      <w:tblStyleRowBandSize w:val="1"/>
      <w:tblStyleColBandSize w:val="1"/>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Pr/>
    </w:tblStylePr>
    <w:tblStylePr w:type="band2Vert">
      <w:rPr>
        <w:sz w:val="22"/>
      </w:rPr>
      <w:tblPr/>
      <w:tcPr>
        <w:shd w:val="clear" w:color="FFFFFF" w:fill="F2DCDC" w:themeFill="accent2" w:themeFillTint="32"/>
      </w:tcPr>
    </w:tblStylePr>
    <w:tblStylePr w:type="band1Horz">
      <w:rPr>
        <w:sz w:val="22"/>
      </w:rPr>
      <w:tblPr/>
    </w:tblStylePr>
    <w:tblStylePr w:type="band2Horz">
      <w:rPr>
        <w:sz w:val="22"/>
      </w:rPr>
      <w:tblPr/>
      <w:tcPr>
        <w:shd w:val="clear" w:color="FFFFFF" w:fill="F2DCDC" w:themeFill="accent2" w:themeFillTint="32"/>
      </w:tcPr>
    </w:tblStylePr>
  </w:style>
  <w:style w:type="table" w:customStyle="1" w:styleId="Lined-Accent3">
    <w:name w:val="Lined - Accent 3"/>
    <w:basedOn w:val="Standardowy"/>
    <w:uiPriority w:val="99"/>
    <w:rsid w:val="00702973"/>
    <w:pPr>
      <w:spacing w:after="0" w:line="240" w:lineRule="auto"/>
    </w:pPr>
    <w:rPr>
      <w:lang w:eastAsia="pl-PL"/>
      <w:sz w:val="20"/>
      <w:szCs w:val="20"/>
    </w:rPr>
    <w:tblPr>
      <w:tblStyleRowBandSize w:val="1"/>
      <w:tblStyleColBandSize w:val="1"/>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Pr/>
    </w:tblStylePr>
    <w:tblStylePr w:type="band2Vert">
      <w:rPr>
        <w:sz w:val="22"/>
      </w:rPr>
      <w:tblPr/>
      <w:tcPr>
        <w:shd w:val="clear" w:color="FFFFFF" w:fill="EAF1DC" w:themeFill="accent3" w:themeFillTint="34"/>
      </w:tcPr>
    </w:tblStylePr>
    <w:tblStylePr w:type="band1Horz">
      <w:rPr>
        <w:sz w:val="22"/>
      </w:rPr>
      <w:tblPr/>
    </w:tblStylePr>
    <w:tblStylePr w:type="band2Horz">
      <w:rPr>
        <w:sz w:val="22"/>
      </w:rPr>
      <w:tblPr/>
      <w:tcPr>
        <w:shd w:val="clear" w:color="FFFFFF" w:fill="EAF1DC" w:themeFill="accent3" w:themeFillTint="34"/>
      </w:tcPr>
    </w:tblStylePr>
  </w:style>
  <w:style w:type="table" w:customStyle="1" w:styleId="Lined-Accent4">
    <w:name w:val="Lined - Accent 4"/>
    <w:basedOn w:val="Standardowy"/>
    <w:uiPriority w:val="99"/>
    <w:rsid w:val="00702973"/>
    <w:pPr>
      <w:spacing w:after="0" w:line="240" w:lineRule="auto"/>
    </w:pPr>
    <w:rPr>
      <w:lang w:eastAsia="pl-PL"/>
      <w:sz w:val="20"/>
      <w:szCs w:val="20"/>
    </w:rPr>
    <w:tblPr>
      <w:tblStyleRowBandSize w:val="1"/>
      <w:tblStyleColBandSize w:val="1"/>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Pr/>
    </w:tblStylePr>
    <w:tblStylePr w:type="band2Vert">
      <w:rPr>
        <w:sz w:val="22"/>
      </w:rPr>
      <w:tblPr/>
      <w:tcPr>
        <w:shd w:val="clear" w:color="FFFFFF" w:fill="E5DFEC" w:themeFill="accent4" w:themeFillTint="34"/>
      </w:tcPr>
    </w:tblStylePr>
    <w:tblStylePr w:type="band1Horz">
      <w:rPr>
        <w:sz w:val="22"/>
      </w:rPr>
      <w:tblPr/>
    </w:tblStylePr>
    <w:tblStylePr w:type="band2Horz">
      <w:rPr>
        <w:sz w:val="22"/>
      </w:rPr>
      <w:tblPr/>
      <w:tcPr>
        <w:shd w:val="clear" w:color="FFFFFF" w:fill="E5DFEC" w:themeFill="accent4" w:themeFillTint="34"/>
      </w:tcPr>
    </w:tblStylePr>
  </w:style>
  <w:style w:type="table" w:customStyle="1" w:styleId="Lined-Accent5">
    <w:name w:val="Lined - Accent 5"/>
    <w:basedOn w:val="Standardowy"/>
    <w:uiPriority w:val="99"/>
    <w:rsid w:val="00702973"/>
    <w:pPr>
      <w:spacing w:after="0" w:line="240" w:lineRule="auto"/>
    </w:pPr>
    <w:rPr>
      <w:lang w:eastAsia="pl-PL"/>
      <w:sz w:val="20"/>
      <w:szCs w:val="20"/>
    </w:rPr>
    <w:tblPr>
      <w:tblStyleRowBandSize w:val="1"/>
      <w:tblStyleColBandSize w:val="1"/>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Pr/>
    </w:tblStylePr>
    <w:tblStylePr w:type="band2Vert">
      <w:rPr>
        <w:sz w:val="22"/>
      </w:rPr>
      <w:tblPr/>
      <w:tcPr>
        <w:shd w:val="clear" w:color="FFFFFF" w:fill="DAEEF3" w:themeFill="accent5" w:themeFillTint="34"/>
      </w:tcPr>
    </w:tblStylePr>
    <w:tblStylePr w:type="band1Horz">
      <w:rPr>
        <w:sz w:val="22"/>
      </w:rPr>
      <w:tblPr/>
    </w:tblStylePr>
    <w:tblStylePr w:type="band2Horz">
      <w:rPr>
        <w:sz w:val="22"/>
      </w:rPr>
      <w:tblPr/>
      <w:tcPr>
        <w:shd w:val="clear" w:color="FFFFFF" w:fill="DAEEF3" w:themeFill="accent5" w:themeFillTint="34"/>
      </w:tcPr>
    </w:tblStylePr>
  </w:style>
  <w:style w:type="table" w:customStyle="1" w:styleId="Lined-Accent6">
    <w:name w:val="Lined - Accent 6"/>
    <w:basedOn w:val="Standardowy"/>
    <w:uiPriority w:val="99"/>
    <w:rsid w:val="00702973"/>
    <w:pPr>
      <w:spacing w:after="0" w:line="240" w:lineRule="auto"/>
    </w:pPr>
    <w:rPr>
      <w:lang w:eastAsia="pl-PL"/>
      <w:sz w:val="20"/>
      <w:szCs w:val="20"/>
    </w:rPr>
    <w:tblPr>
      <w:tblStyleRowBandSize w:val="1"/>
      <w:tblStyleColBandSize w:val="1"/>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Pr/>
    </w:tblStylePr>
    <w:tblStylePr w:type="band2Vert">
      <w:rPr>
        <w:sz w:val="22"/>
      </w:rPr>
      <w:tblPr/>
      <w:tcPr>
        <w:shd w:val="clear" w:color="FFFFFF" w:fill="FDE9D8" w:themeFill="accent6" w:themeFillTint="34"/>
      </w:tcPr>
    </w:tblStylePr>
    <w:tblStylePr w:type="band1Horz">
      <w:rPr>
        <w:sz w:val="22"/>
      </w:rPr>
      <w:tblPr/>
    </w:tblStylePr>
    <w:tblStylePr w:type="band2Horz">
      <w:rPr>
        <w:sz w:val="22"/>
      </w:rPr>
      <w:tblPr/>
      <w:tcPr>
        <w:shd w:val="clear" w:color="FFFFFF" w:fill="FDE9D8" w:themeFill="accent6" w:themeFillTint="34"/>
      </w:tcPr>
    </w:tblStylePr>
  </w:style>
  <w:style w:type="table" w:customStyle="1" w:styleId="BorderedLined-Accent">
    <w:name w:val="Bordered &amp; Lined - Accent"/>
    <w:basedOn w:val="Standardowy"/>
    <w:uiPriority w:val="99"/>
    <w:rsid w:val="00702973"/>
    <w:pPr>
      <w:spacing w:after="0" w:line="240" w:lineRule="auto"/>
    </w:pPr>
    <w:rPr>
      <w:lang w:eastAsia="pl-PL"/>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Pr/>
    </w:tblStylePr>
    <w:tblStylePr w:type="band2Vert">
      <w:rPr>
        <w:sz w:val="22"/>
      </w:rPr>
      <w:tblPr/>
      <w:tcPr>
        <w:shd w:val="clear" w:color="FFFFFF" w:fill="F2F2F2" w:themeFill="text1" w:themeFillTint="d"/>
      </w:tcPr>
    </w:tblStylePr>
    <w:tblStylePr w:type="band1Horz">
      <w:rPr>
        <w:sz w:val="22"/>
      </w:rPr>
      <w:tblPr/>
    </w:tblStylePr>
    <w:tblStylePr w:type="band2Horz">
      <w:rPr>
        <w:sz w:val="22"/>
      </w:rPr>
      <w:tblPr/>
      <w:tcPr>
        <w:shd w:val="clear" w:color="FFFFFF" w:fill="F2F2F2" w:themeFill="text1" w:themeFillTint="d"/>
      </w:tcPr>
    </w:tblStylePr>
  </w:style>
  <w:style w:type="table" w:customStyle="1" w:styleId="BorderedLined-Accent1">
    <w:name w:val="Bordered &amp; Lined - Accent 1"/>
    <w:basedOn w:val="Standardowy"/>
    <w:uiPriority w:val="99"/>
    <w:rsid w:val="00702973"/>
    <w:pPr>
      <w:spacing w:after="0" w:line="240" w:lineRule="auto"/>
    </w:pPr>
    <w:rPr>
      <w:lang w:eastAsia="pl-PL"/>
      <w:sz w:val="20"/>
      <w:szCs w:val="20"/>
    </w:rPr>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Pr/>
    </w:tblStylePr>
    <w:tblStylePr w:type="band2Vert">
      <w:rPr>
        <w:sz w:val="22"/>
      </w:rPr>
      <w:tblPr/>
      <w:tcPr>
        <w:shd w:val="clear" w:color="FFFFFF" w:fill="C7D7EA" w:themeFill="accent1" w:themeFillTint="50"/>
      </w:tcPr>
    </w:tblStylePr>
    <w:tblStylePr w:type="band1Horz">
      <w:rPr>
        <w:sz w:val="22"/>
      </w:rPr>
      <w:tblPr/>
    </w:tblStylePr>
    <w:tblStylePr w:type="band2Horz">
      <w:rPr>
        <w:sz w:val="22"/>
      </w:rPr>
      <w:tblPr/>
      <w:tcPr>
        <w:shd w:val="clear" w:color="FFFFFF" w:fill="C7D7EA" w:themeFill="accent1" w:themeFillTint="50"/>
      </w:tcPr>
    </w:tblStylePr>
  </w:style>
  <w:style w:type="table" w:customStyle="1" w:styleId="BorderedLined-Accent2">
    <w:name w:val="Bordered &amp; Lined - Accent 2"/>
    <w:basedOn w:val="Standardowy"/>
    <w:uiPriority w:val="99"/>
    <w:rsid w:val="00702973"/>
    <w:pPr>
      <w:spacing w:after="0" w:line="240" w:lineRule="auto"/>
    </w:pPr>
    <w:rPr>
      <w:lang w:eastAsia="pl-PL"/>
      <w:sz w:val="20"/>
      <w:szCs w:val="20"/>
    </w:rPr>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Pr/>
    </w:tblStylePr>
    <w:tblStylePr w:type="band2Vert">
      <w:rPr>
        <w:sz w:val="22"/>
      </w:rPr>
      <w:tblPr/>
      <w:tcPr>
        <w:shd w:val="clear" w:color="FFFFFF" w:fill="F2DCDC" w:themeFill="accent2" w:themeFillTint="32"/>
      </w:tcPr>
    </w:tblStylePr>
    <w:tblStylePr w:type="band1Horz">
      <w:rPr>
        <w:sz w:val="22"/>
      </w:rPr>
      <w:tblPr/>
    </w:tblStylePr>
    <w:tblStylePr w:type="band2Horz">
      <w:rPr>
        <w:sz w:val="22"/>
      </w:rPr>
      <w:tblPr/>
      <w:tcPr>
        <w:shd w:val="clear" w:color="FFFFFF" w:fill="F2DCDC" w:themeFill="accent2" w:themeFillTint="32"/>
      </w:tcPr>
    </w:tblStylePr>
  </w:style>
  <w:style w:type="table" w:customStyle="1" w:styleId="BorderedLined-Accent3">
    <w:name w:val="Bordered &amp; Lined - Accent 3"/>
    <w:basedOn w:val="Standardowy"/>
    <w:uiPriority w:val="99"/>
    <w:rsid w:val="00702973"/>
    <w:pPr>
      <w:spacing w:after="0" w:line="240" w:lineRule="auto"/>
    </w:pPr>
    <w:rPr>
      <w:lang w:eastAsia="pl-PL"/>
      <w:sz w:val="20"/>
      <w:szCs w:val="20"/>
    </w:rPr>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Pr/>
    </w:tblStylePr>
    <w:tblStylePr w:type="band2Vert">
      <w:rPr>
        <w:sz w:val="22"/>
      </w:rPr>
      <w:tblPr/>
      <w:tcPr>
        <w:shd w:val="clear" w:color="FFFFFF" w:fill="EAF1DC" w:themeFill="accent3" w:themeFillTint="34"/>
      </w:tcPr>
    </w:tblStylePr>
    <w:tblStylePr w:type="band1Horz">
      <w:rPr>
        <w:sz w:val="22"/>
      </w:rPr>
      <w:tblPr/>
    </w:tblStylePr>
    <w:tblStylePr w:type="band2Horz">
      <w:rPr>
        <w:sz w:val="22"/>
      </w:rPr>
      <w:tblPr/>
      <w:tcPr>
        <w:shd w:val="clear" w:color="FFFFFF" w:fill="EAF1DC" w:themeFill="accent3" w:themeFillTint="34"/>
      </w:tcPr>
    </w:tblStylePr>
  </w:style>
  <w:style w:type="table" w:customStyle="1" w:styleId="BorderedLined-Accent4">
    <w:name w:val="Bordered &amp; Lined - Accent 4"/>
    <w:basedOn w:val="Standardowy"/>
    <w:uiPriority w:val="99"/>
    <w:rsid w:val="00702973"/>
    <w:pPr>
      <w:spacing w:after="0" w:line="240" w:lineRule="auto"/>
    </w:pPr>
    <w:rPr>
      <w:lang w:eastAsia="pl-PL"/>
      <w:sz w:val="20"/>
      <w:szCs w:val="20"/>
    </w:rPr>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Pr/>
    </w:tblStylePr>
    <w:tblStylePr w:type="band2Vert">
      <w:rPr>
        <w:sz w:val="22"/>
      </w:rPr>
      <w:tblPr/>
      <w:tcPr>
        <w:shd w:val="clear" w:color="FFFFFF" w:fill="E5DFEC" w:themeFill="accent4" w:themeFillTint="34"/>
      </w:tcPr>
    </w:tblStylePr>
    <w:tblStylePr w:type="band1Horz">
      <w:rPr>
        <w:sz w:val="22"/>
      </w:rPr>
      <w:tblPr/>
    </w:tblStylePr>
    <w:tblStylePr w:type="band2Horz">
      <w:rPr>
        <w:sz w:val="22"/>
      </w:rPr>
      <w:tblPr/>
      <w:tcPr>
        <w:shd w:val="clear" w:color="FFFFFF" w:fill="E5DFEC" w:themeFill="accent4" w:themeFillTint="34"/>
      </w:tcPr>
    </w:tblStylePr>
  </w:style>
  <w:style w:type="table" w:customStyle="1" w:styleId="BorderedLined-Accent5">
    <w:name w:val="Bordered &amp; Lined - Accent 5"/>
    <w:basedOn w:val="Standardowy"/>
    <w:uiPriority w:val="99"/>
    <w:rsid w:val="00702973"/>
    <w:pPr>
      <w:spacing w:after="0" w:line="240" w:lineRule="auto"/>
    </w:pPr>
    <w:rPr>
      <w:lang w:eastAsia="pl-PL"/>
      <w:sz w:val="20"/>
      <w:szCs w:val="20"/>
    </w:rPr>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Pr/>
    </w:tblStylePr>
    <w:tblStylePr w:type="band2Vert">
      <w:rPr>
        <w:sz w:val="22"/>
      </w:rPr>
      <w:tblPr/>
      <w:tcPr>
        <w:shd w:val="clear" w:color="FFFFFF" w:fill="DAEEF3" w:themeFill="accent5" w:themeFillTint="34"/>
      </w:tcPr>
    </w:tblStylePr>
    <w:tblStylePr w:type="band1Horz">
      <w:rPr>
        <w:sz w:val="22"/>
      </w:rPr>
      <w:tblPr/>
    </w:tblStylePr>
    <w:tblStylePr w:type="band2Horz">
      <w:rPr>
        <w:sz w:val="22"/>
      </w:rPr>
      <w:tblPr/>
      <w:tcPr>
        <w:shd w:val="clear" w:color="FFFFFF" w:fill="DAEEF3" w:themeFill="accent5" w:themeFillTint="34"/>
      </w:tcPr>
    </w:tblStylePr>
  </w:style>
  <w:style w:type="table" w:customStyle="1" w:styleId="BorderedLined-Accent6">
    <w:name w:val="Bordered &amp; Lined - Accent 6"/>
    <w:basedOn w:val="Standardowy"/>
    <w:uiPriority w:val="99"/>
    <w:rsid w:val="00702973"/>
    <w:pPr>
      <w:spacing w:after="0" w:line="240" w:lineRule="auto"/>
    </w:pPr>
    <w:rPr>
      <w:lang w:eastAsia="pl-PL"/>
      <w:sz w:val="20"/>
      <w:szCs w:val="20"/>
    </w:rPr>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Pr/>
    </w:tblStylePr>
    <w:tblStylePr w:type="band2Vert">
      <w:rPr>
        <w:sz w:val="22"/>
      </w:rPr>
      <w:tblPr/>
      <w:tcPr>
        <w:shd w:val="clear" w:color="FFFFFF" w:fill="FDE9D8" w:themeFill="accent6" w:themeFillTint="34"/>
      </w:tcPr>
    </w:tblStylePr>
    <w:tblStylePr w:type="band1Horz">
      <w:rPr>
        <w:sz w:val="22"/>
      </w:rPr>
      <w:tblPr/>
    </w:tblStylePr>
    <w:tblStylePr w:type="band2Horz">
      <w:rPr>
        <w:sz w:val="22"/>
      </w:rPr>
      <w:tblPr/>
      <w:tcPr>
        <w:shd w:val="clear" w:color="FFFFFF" w:fill="FDE9D8" w:themeFill="accent6" w:themeFillTint="34"/>
      </w:tcPr>
    </w:tblStylePr>
  </w:style>
  <w:style w:type="table" w:customStyle="1" w:styleId="Bordered">
    <w:name w:val="Bordered"/>
    <w:basedOn w:val="Standardowy"/>
    <w:uiPriority w:val="99"/>
    <w:rsid w:val="00702973"/>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Standardowy"/>
    <w:uiPriority w:val="99"/>
    <w:rsid w:val="00702973"/>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Standardowy"/>
    <w:uiPriority w:val="99"/>
    <w:rsid w:val="00702973"/>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Standardowy"/>
    <w:uiPriority w:val="99"/>
    <w:rsid w:val="00702973"/>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Standardowy"/>
    <w:uiPriority w:val="99"/>
    <w:rsid w:val="00702973"/>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Standardowy"/>
    <w:uiPriority w:val="99"/>
    <w:rsid w:val="00702973"/>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Standardowy"/>
    <w:uiPriority w:val="99"/>
    <w:rsid w:val="00702973"/>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Zwykatabela12">
    <w:name w:val="Zwykła tabela 12"/>
    <w:basedOn w:val="Standardowy"/>
    <w:uiPriority w:val="59"/>
    <w:rsid w:val="0051171f"/>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FFFFF" w:fill="F2F2F2" w:themeFill="text1" w:themeFillTint="d"/>
      </w:tcPr>
    </w:tblStylePr>
    <w:tblStylePr w:type="band1Horz">
      <w:tblPr/>
      <w:tcPr>
        <w:shd w:val="clear" w:color="FFFFFF" w:fill="F2F2F2" w:themeFill="text1" w:themeFillTint="d"/>
      </w:tcPr>
    </w:tblStylePr>
  </w:style>
  <w:style w:type="table" w:customStyle="1" w:styleId="Zwykatabela22">
    <w:name w:val="Zwykła tabela 22"/>
    <w:basedOn w:val="Standardowy"/>
    <w:uiPriority w:val="59"/>
    <w:rsid w:val="0051171f"/>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Zwykatabela32">
    <w:name w:val="Zwykła tabela 32"/>
    <w:basedOn w:val="Standardowy"/>
    <w:uiPriority w:val="99"/>
    <w:rsid w:val="0051171f"/>
    <w:pPr>
      <w:spacing w:after="0" w:line="240" w:lineRule="auto"/>
    </w:pPr>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FFFFF" w:fill="F2F2F2" w:themeFill="text1" w:themeFillTint="d"/>
      </w:tcPr>
    </w:tblStylePr>
    <w:tblStylePr w:type="band1Horz">
      <w:rPr>
        <w:sz w:val="22"/>
      </w:rPr>
      <w:tblPr/>
      <w:tcPr>
        <w:shd w:val="clear" w:color="FFFFFF" w:fill="F2F2F2" w:themeFill="text1" w:themeFillTint="d"/>
      </w:tcPr>
    </w:tblStylePr>
  </w:style>
  <w:style w:type="table" w:customStyle="1" w:styleId="Zwykatabela42">
    <w:name w:val="Zwykła tabela 42"/>
    <w:basedOn w:val="Standardowy"/>
    <w:uiPriority w:val="99"/>
    <w:rsid w:val="0051171f"/>
    <w:pPr>
      <w:spacing w:after="0" w:line="240" w:lineRule="auto"/>
    </w:pPr>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F2F2F2" w:themeFill="text1" w:themeFillTint="d"/>
      </w:tcPr>
    </w:tblStylePr>
    <w:tblStylePr w:type="band1Horz">
      <w:rPr>
        <w:sz w:val="22"/>
      </w:rPr>
      <w:tblPr/>
      <w:tcPr>
        <w:shd w:val="clear" w:color="FFFFFF" w:fill="F2F2F2" w:themeFill="text1" w:themeFillTint="d"/>
      </w:tcPr>
    </w:tblStylePr>
  </w:style>
  <w:style w:type="table" w:customStyle="1" w:styleId="Zwykatabela52">
    <w:name w:val="Zwykła tabela 52"/>
    <w:basedOn w:val="Standardowy"/>
    <w:uiPriority w:val="99"/>
    <w:rsid w:val="0051171f"/>
    <w:pPr>
      <w:spacing w:after="0" w:line="240" w:lineRule="auto"/>
    </w:pPr>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FFFFFF"/>
      </w:tcPr>
    </w:tblStylePr>
    <w:tblStylePr w:type="lastRow">
      <w:rPr>
        <w:i/>
      </w:rPr>
      <w:tblPr/>
      <w:tcPr>
        <w:tcBorders>
          <w:top w:val="single" w:color="404040" w:sz="4" w:space="0"/>
          <w:left w:val="none" w:color="000000" w:sz="4" w:space="0"/>
          <w:right w:val="none" w:color="000000" w:sz="4" w:space="0"/>
        </w:tcBorders>
        <w:shd w:val="clear" w:color="FFFFFF" w:fill="FFFFFF"/>
      </w:tcPr>
    </w:tblStylePr>
    <w:tblStylePr w:type="firstCol">
      <w:pPr>
        <w:jc w:val="right"/>
      </w:pPr>
      <w:rPr>
        <w:i/>
      </w:rPr>
      <w:tblPr/>
      <w:tcPr>
        <w:tcBorders>
          <w:right w:val="single" w:color="404040" w:sz="4" w:space="0"/>
        </w:tcBorders>
        <w:shd w:val="clear" w:color="FFFFFF" w:fill="FFFFFF"/>
      </w:tcPr>
    </w:tblStylePr>
    <w:tblStylePr w:type="lastCol">
      <w:rPr>
        <w:i/>
      </w:rPr>
      <w:tblPr/>
      <w:tcPr>
        <w:tcBorders>
          <w:left w:val="single" w:color="404040" w:sz="4" w:space="0"/>
        </w:tcBorders>
        <w:shd w:val="clear" w:color="FFFFFF" w:fill="FFFFFF"/>
      </w:tcPr>
    </w:tblStylePr>
    <w:tblStylePr w:type="band1Vert">
      <w:rPr>
        <w:sz w:val="22"/>
      </w:rPr>
      <w:tblPr/>
      <w:tcPr>
        <w:shd w:val="clear" w:color="FFFFFF" w:fill="F2F2F2" w:themeFill="text1" w:themeFillTint="d"/>
      </w:tcPr>
    </w:tblStylePr>
    <w:tblStylePr w:type="band1Horz">
      <w:rPr>
        <w:sz w:val="22"/>
      </w:rPr>
      <w:tblPr/>
      <w:tcPr>
        <w:shd w:val="clear" w:color="FFFFFF" w:fill="F2F2F2" w:themeFill="text1" w:themeFillTint="d"/>
      </w:tcPr>
    </w:tblStylePr>
  </w:style>
  <w:style w:type="table" w:customStyle="1" w:styleId="Tabelasiatki1jasna2">
    <w:name w:val="Tabela siatki 1 — jasna2"/>
    <w:basedOn w:val="Standardowy"/>
    <w:uiPriority w:val="99"/>
    <w:rsid w:val="0051171f"/>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Tabelasiatki22">
    <w:name w:val="Tabela siatki 22"/>
    <w:basedOn w:val="Standardowy"/>
    <w:uiPriority w:val="99"/>
    <w:rsid w:val="0051171f"/>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FFFFFF"/>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FFFFFF"/>
      </w:tcPr>
    </w:tblStylePr>
    <w:tblStylePr w:type="firstCol">
      <w:rPr>
        <w:b/>
      </w:rPr>
      <w:tblPr/>
    </w:tblStylePr>
    <w:tblStylePr w:type="lastCol">
      <w:rPr>
        <w:b/>
      </w:rPr>
      <w:tbl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Tabelasiatki32">
    <w:name w:val="Tabela siatki 32"/>
    <w:basedOn w:val="Standardowy"/>
    <w:uiPriority w:val="99"/>
    <w:rsid w:val="0051171f"/>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Tabelasiatki42">
    <w:name w:val="Tabela siatki 42"/>
    <w:basedOn w:val="Standardowy"/>
    <w:uiPriority w:val="59"/>
    <w:rsid w:val="0051171f"/>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Tabelasiatki5ciemna2">
    <w:name w:val="Tabela siatki 5 — ciemna2"/>
    <w:basedOn w:val="Standardowy"/>
    <w:uiPriority w:val="99"/>
    <w:rsid w:val="0051171f"/>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FFFF" w:fill="000000" w:themeFill="text1"/>
      </w:tcPr>
    </w:tblStylePr>
    <w:tblStylePr w:type="lastRow">
      <w:rPr>
        <w:b/>
        <w:sz w:val="22"/>
      </w:rPr>
      <w:tblPr/>
      <w:tcPr>
        <w:tcBorders>
          <w:top w:val="single" w:color="FFFFFF" w:themeColor="light1" w:sz="4" w:space="0"/>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Tabelasiatki6kolorowa2">
    <w:name w:val="Tabela siatki 6 — kolorowa2"/>
    <w:basedOn w:val="Standardowy"/>
    <w:uiPriority w:val="99"/>
    <w:rsid w:val="0051171f"/>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FFFFFF" w:fill="CBCBCB" w:themeFill="text1" w:themeFillTint="34"/>
      </w:tcPr>
    </w:tblStylePr>
    <w:tblStylePr w:type="band1Horz">
      <w:rPr>
        <w:color w:themeColor="text1" w:themeTint="80" w:themeShade="95"/>
        <w:sz w:val="22"/>
      </w:rPr>
      <w:tblPr/>
      <w:tcPr>
        <w:shd w:val="clear" w:color="FFFFFF" w:fill="CBCBCB" w:themeFill="text1" w:themeFillTint="34"/>
      </w:tcPr>
    </w:tblStylePr>
    <w:tblStylePr w:type="band2Horz">
      <w:rPr>
        <w:color w:themeColor="text1" w:themeTint="80" w:themeShade="95"/>
        <w:sz w:val="22"/>
      </w:rPr>
      <w:tblPr/>
    </w:tblStylePr>
  </w:style>
  <w:style w:type="table" w:customStyle="1" w:styleId="Tabelasiatki7kolorowa2">
    <w:name w:val="Tabela siatki 7 — kolorowa2"/>
    <w:basedOn w:val="Standardowy"/>
    <w:uiPriority w:val="99"/>
    <w:rsid w:val="0051171f"/>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FFFFFF"/>
      </w:tcPr>
    </w:tblStylePr>
    <w:tblStylePr w:type="lastCol">
      <w:rPr>
        <w:i/>
        <w:color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FFFFFF"/>
      </w:tcPr>
    </w:tblStylePr>
    <w:tblStylePr w:type="band1Vert">
      <w:tblPr/>
      <w:tcPr>
        <w:shd w:val="clear" w:color="FFFFFF" w:fill="F2F2F2" w:themeFill="text1" w:themeFillTint="d"/>
      </w:tcPr>
    </w:tblStylePr>
    <w:tblStylePr w:type="band1Horz">
      <w:rPr>
        <w:color w:themeColor="text1" w:themeTint="80" w:themeShade="95"/>
        <w:sz w:val="22"/>
      </w:rPr>
      <w:tblPr/>
      <w:tcPr>
        <w:shd w:val="clear" w:color="FFFFFF" w:fill="F2F2F2" w:themeFill="text1" w:themeFillTint="d"/>
      </w:tcPr>
    </w:tblStylePr>
    <w:tblStylePr w:type="band2Horz">
      <w:rPr>
        <w:color w:themeColor="text1" w:themeTint="80" w:themeShade="95"/>
        <w:sz w:val="22"/>
      </w:rPr>
      <w:tblPr/>
    </w:tblStylePr>
  </w:style>
  <w:style w:type="table" w:customStyle="1" w:styleId="Tabelalisty1jasna2">
    <w:name w:val="Tabela listy 1 — jasna2"/>
    <w:basedOn w:val="Standardowy"/>
    <w:uiPriority w:val="99"/>
    <w:rsid w:val="0051171f"/>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Tabelalisty22">
    <w:name w:val="Tabela listy 22"/>
    <w:basedOn w:val="Standardowy"/>
    <w:uiPriority w:val="99"/>
    <w:rsid w:val="0051171f"/>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Tabelalisty32">
    <w:name w:val="Tabela listy 32"/>
    <w:basedOn w:val="Standardowy"/>
    <w:uiPriority w:val="99"/>
    <w:rsid w:val="0051171f"/>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FFFFFF"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Tabelalisty42">
    <w:name w:val="Tabela listy 42"/>
    <w:basedOn w:val="Standardowy"/>
    <w:uiPriority w:val="99"/>
    <w:rsid w:val="0051171f"/>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FFFFFF"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Tabelalisty5ciemna2">
    <w:name w:val="Tabela listy 5 — ciemna2"/>
    <w:basedOn w:val="Standardowy"/>
    <w:uiPriority w:val="99"/>
    <w:rsid w:val="0051171f"/>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FFFFF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FFFFF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7F7F7F" w:themeFill="text1" w:themeFillTint="80"/>
      </w:tcPr>
    </w:tblStylePr>
    <w:tblStylePr w:type="band2Horz">
      <w:tblPr/>
      <w:tcPr>
        <w:tcBorders>
          <w:top w:val="single" w:color="FFFFFF" w:themeColor="light1" w:sz="4" w:space="0"/>
          <w:bottom w:val="single" w:color="FFFFFF" w:themeColor="light1" w:sz="4" w:space="0"/>
        </w:tcBorders>
        <w:shd w:val="clear" w:color="FFFFFF" w:fill="7F7F7F" w:themeFill="text1" w:themeFillTint="80"/>
      </w:tcPr>
    </w:tblStylePr>
  </w:style>
  <w:style w:type="table" w:customStyle="1" w:styleId="Tabelalisty6kolorowa2">
    <w:name w:val="Tabela listy 6 — kolorowa2"/>
    <w:basedOn w:val="Standardowy"/>
    <w:uiPriority w:val="99"/>
    <w:rsid w:val="0051171f"/>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FFFFFF" w:fill="BFBFBF" w:themeFill="text1" w:themeFillTint="40"/>
      </w:tcPr>
    </w:tblStylePr>
    <w:tblStylePr w:type="band1Horz">
      <w:rPr>
        <w:color w:themeColor="text1"/>
        <w:sz w:val="22"/>
      </w:rPr>
      <w:tblPr/>
      <w:tcPr>
        <w:shd w:val="clear" w:color="FFFFFF" w:fill="BFBFBF" w:themeFill="text1" w:themeFillTint="40"/>
      </w:tcPr>
    </w:tblStylePr>
    <w:tblStylePr w:type="band2Horz">
      <w:rPr>
        <w:color w:themeColor="text1"/>
        <w:sz w:val="22"/>
      </w:rPr>
      <w:tblPr/>
    </w:tblStylePr>
  </w:style>
  <w:style w:type="table" w:customStyle="1" w:styleId="Tabelalisty7kolorowa2">
    <w:name w:val="Tabela listy 7 — kolorowa2"/>
    <w:basedOn w:val="Standardowy"/>
    <w:uiPriority w:val="99"/>
    <w:rsid w:val="0051171f"/>
    <w:pPr>
      <w:spacing w:after="0" w:line="240" w:lineRule="auto"/>
    </w:pPr>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FFFFFF"/>
      </w:tcPr>
    </w:tblStylePr>
    <w:tblStylePr w:type="lastCol">
      <w:rPr>
        <w:i/>
        <w:color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FFFFFF"/>
      </w:tcPr>
    </w:tblStylePr>
    <w:tblStylePr w:type="band1Vert">
      <w:tblPr/>
      <w:tcPr>
        <w:shd w:val="clear" w:color="FFFFFF" w:fill="BFBFBF" w:themeFill="text1" w:themeFillTint="40"/>
      </w:tcPr>
    </w:tblStylePr>
    <w:tblStylePr w:type="band1Horz">
      <w:rPr>
        <w:color w:themeColor="text1" w:themeTint="80" w:themeShade="95"/>
        <w:sz w:val="22"/>
      </w:rPr>
      <w:tblPr/>
      <w:tcPr>
        <w:shd w:val="clear" w:color="FFFFFF" w:fill="BFBFBF" w:themeFill="text1" w:themeFillTint="40"/>
      </w:tcPr>
    </w:tblStylePr>
    <w:tblStylePr w:type="band2Horz">
      <w:rPr>
        <w:color w:themeColor="text1" w:themeTint="80" w:themeShade="95"/>
        <w:sz w:val="22"/>
      </w:rPr>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endnotes" Target="end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010ABC33-7CA5-415A-8FC4-B04D974AE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Application>LibreOffice/24.2.7.2$Linux_X86_64 LibreOffice_project/420$Build-2</Application>
  <AppVersion>15.0000</AppVersion>
  <Pages>8</Pages>
  <Words>3270</Words>
  <Characters>21348</Characters>
  <CharactersWithSpaces>24538</CharactersWithSpaces>
  <Paragraphs>157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2023-11-29T12:59:00Z</dcterms:created>
  <dc:creator/>
  <dc:description/>
  <dc:language>pl-PL</dc:language>
  <cp:lastModifiedBy/>
  <dcterms:modified xsi:type="dcterms:W3CDTF">2026-09-17T09:45:39Z</dcterms:modified>
  <cp:revision>38</cp:revision>
  <dc:subject/>
  <dc:title>Pismo dotyczące aktu planowania przestrzennego</dc:title>
</cp:coreProperties>
</file>

<file path=docProps/custom.xml><?xml version="1.0" encoding="utf-8"?>
<Properties xmlns="http://schemas.openxmlformats.org/officeDocument/2006/custom-properties" xmlns:vt="http://schemas.openxmlformats.org/officeDocument/2006/docPropsVTypes"/>
</file>